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78441"/>
      <w:bookmarkStart w:id="1" w:name="_Toc15377425"/>
      <w:bookmarkStart w:id="2" w:name="_Toc15396475"/>
      <w:bookmarkStart w:id="3" w:name="_Toc15377193"/>
      <w:bookmarkStart w:id="4" w:name="_Toc15396597"/>
      <w:bookmarkStart w:id="5"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47651394"/>
      <w:bookmarkStart w:id="7" w:name="_Toc147583842"/>
      <w:r>
        <w:rPr>
          <w:rFonts w:hint="eastAsia" w:ascii="方正小标宋简体" w:hAnsi="方正小标宋简体" w:eastAsia="方正小标宋简体" w:cs="方正小标宋简体"/>
          <w:sz w:val="72"/>
          <w:szCs w:val="72"/>
        </w:rPr>
        <w:t>2022年度</w:t>
      </w:r>
      <w:bookmarkEnd w:id="0"/>
      <w:bookmarkEnd w:id="1"/>
      <w:bookmarkEnd w:id="2"/>
      <w:bookmarkEnd w:id="3"/>
      <w:bookmarkEnd w:id="4"/>
      <w:bookmarkEnd w:id="6"/>
      <w:bookmarkEnd w:id="7"/>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8" w:name="_Toc15377426"/>
      <w:bookmarkStart w:id="9" w:name="_Toc15396598"/>
      <w:bookmarkStart w:id="10" w:name="_Toc15377194"/>
      <w:bookmarkStart w:id="11" w:name="_Toc147651395"/>
      <w:bookmarkStart w:id="12" w:name="_Toc15396476"/>
      <w:bookmarkStart w:id="13" w:name="_Toc147583843"/>
      <w:bookmarkStart w:id="14" w:name="_Toc15378442"/>
      <w:r>
        <w:rPr>
          <w:rFonts w:hint="eastAsia" w:ascii="方正小标宋简体" w:hAnsi="方正小标宋简体" w:eastAsia="方正小标宋简体" w:cs="方正小标宋简体"/>
          <w:sz w:val="72"/>
          <w:szCs w:val="72"/>
        </w:rPr>
        <w:t>广元市</w:t>
      </w:r>
      <w:bookmarkEnd w:id="5"/>
      <w:bookmarkStart w:id="15" w:name="_Toc15306268"/>
      <w:r>
        <w:rPr>
          <w:rFonts w:hint="eastAsia" w:ascii="方正小标宋简体" w:hAnsi="方正小标宋简体" w:eastAsia="方正小标宋简体" w:cs="方正小标宋简体"/>
          <w:sz w:val="72"/>
          <w:szCs w:val="72"/>
        </w:rPr>
        <w:t>政府国有资产监督管理委员会单位决算</w:t>
      </w:r>
      <w:bookmarkEnd w:id="8"/>
      <w:bookmarkEnd w:id="9"/>
      <w:bookmarkEnd w:id="10"/>
      <w:bookmarkEnd w:id="11"/>
      <w:bookmarkEnd w:id="12"/>
      <w:bookmarkEnd w:id="13"/>
      <w:bookmarkEnd w:id="14"/>
      <w:bookmarkEnd w:id="15"/>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目录</w:t>
      </w:r>
    </w:p>
    <w:p>
      <w:pPr>
        <w:pStyle w:val="12"/>
      </w:pPr>
      <w:r>
        <w:rPr>
          <w:rFonts w:hint="eastAsia"/>
        </w:rPr>
        <w:t>公开时间：2023年10月  日</w:t>
      </w:r>
    </w:p>
    <w:sdt>
      <w:sdtPr>
        <w:rPr>
          <w:rFonts w:ascii="Times New Roman" w:hAnsi="Times New Roman" w:eastAsia="仿宋_GB2312"/>
          <w:sz w:val="32"/>
          <w:szCs w:val="24"/>
          <w:lang w:val="zh-CN"/>
        </w:rPr>
        <w:id w:val="968560004"/>
        <w:docPartObj>
          <w:docPartGallery w:val="Table of Contents"/>
          <w:docPartUnique/>
        </w:docPartObj>
      </w:sdtPr>
      <w:sdtEndPr>
        <w:rPr>
          <w:rFonts w:hint="eastAsia" w:ascii="仿宋_GB2312" w:hAnsi="Times New Roman" w:eastAsia="仿宋_GB2312"/>
          <w:b/>
          <w:bCs/>
          <w:sz w:val="32"/>
          <w:szCs w:val="28"/>
          <w:lang w:val="zh-CN"/>
        </w:rPr>
      </w:sdtEndPr>
      <w:sdtContent>
        <w:p>
          <w:pPr>
            <w:pStyle w:val="12"/>
            <w:spacing w:line="576" w:lineRule="exact"/>
            <w:rPr>
              <w:rFonts w:ascii="宋体" w:hAnsi="宋体" w:eastAsia="宋体" w:cstheme="minorBidi"/>
              <w:sz w:val="24"/>
              <w:szCs w:val="24"/>
            </w:rPr>
          </w:pPr>
          <w:r>
            <w:rPr>
              <w:rFonts w:hint="eastAsia" w:ascii="仿宋_GB2312" w:eastAsia="仿宋_GB2312"/>
            </w:rPr>
            <w:fldChar w:fldCharType="begin"/>
          </w:r>
          <w:r>
            <w:rPr>
              <w:rFonts w:hint="eastAsia" w:ascii="仿宋_GB2312" w:eastAsia="仿宋_GB2312"/>
            </w:rPr>
            <w:instrText xml:space="preserve"> TOC \o "1-3" \h \z \u </w:instrText>
          </w:r>
          <w:r>
            <w:rPr>
              <w:rFonts w:hint="eastAsia" w:ascii="仿宋_GB2312" w:eastAsia="仿宋_GB2312"/>
            </w:rPr>
            <w:fldChar w:fldCharType="separate"/>
          </w:r>
          <w:r>
            <w:fldChar w:fldCharType="begin"/>
          </w:r>
          <w:r>
            <w:instrText xml:space="preserve"> HYPERLINK \l "_Toc147651394" </w:instrText>
          </w:r>
          <w:r>
            <w:fldChar w:fldCharType="separate"/>
          </w:r>
          <w:r>
            <w:fldChar w:fldCharType="end"/>
          </w:r>
        </w:p>
        <w:p>
          <w:pPr>
            <w:pStyle w:val="12"/>
            <w:spacing w:line="576" w:lineRule="exact"/>
            <w:rPr>
              <w:rFonts w:ascii="宋体" w:hAnsi="宋体" w:eastAsia="宋体" w:cstheme="minorBidi"/>
              <w:sz w:val="24"/>
              <w:szCs w:val="24"/>
            </w:rPr>
          </w:pPr>
          <w:r>
            <w:t>2022年度</w:t>
          </w:r>
          <w:r>
            <w:fldChar w:fldCharType="begin"/>
          </w:r>
          <w:r>
            <w:instrText xml:space="preserve"> HYPERLINK \l "_Toc147651395" </w:instrText>
          </w:r>
          <w:r>
            <w:fldChar w:fldCharType="separate"/>
          </w:r>
          <w:r>
            <w:rPr>
              <w:rStyle w:val="19"/>
              <w:rFonts w:ascii="宋体" w:hAnsi="宋体" w:eastAsia="宋体" w:cs="方正小标宋简体"/>
              <w:sz w:val="24"/>
              <w:szCs w:val="24"/>
            </w:rPr>
            <w:t>广元市政府国有资产监督管理委员会单位决算</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_Toc147651395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"_Toc147651396" </w:instrText>
          </w:r>
          <w:r>
            <w:fldChar w:fldCharType="separate"/>
          </w:r>
          <w:r>
            <w:rPr>
              <w:rStyle w:val="19"/>
              <w:rFonts w:ascii="宋体" w:hAnsi="宋体" w:eastAsia="宋体"/>
              <w:sz w:val="24"/>
              <w:szCs w:val="24"/>
            </w:rPr>
            <w:t>第一部分 单位概况</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_Toc147651396 \h </w:instrText>
          </w:r>
          <w:r>
            <w:rPr>
              <w:rFonts w:ascii="宋体" w:hAnsi="宋体" w:eastAsia="宋体"/>
              <w:sz w:val="24"/>
              <w:szCs w:val="24"/>
            </w:rPr>
            <w:fldChar w:fldCharType="separate"/>
          </w:r>
          <w:r>
            <w:rPr>
              <w:rFonts w:ascii="宋体" w:hAnsi="宋体" w:eastAsia="宋体"/>
              <w:sz w:val="24"/>
              <w:szCs w:val="24"/>
            </w:rPr>
            <w:t>1</w:t>
          </w:r>
          <w:r>
            <w:rPr>
              <w:rFonts w:ascii="宋体" w:hAnsi="宋体" w:eastAsia="宋体"/>
              <w:sz w:val="24"/>
              <w:szCs w:val="24"/>
            </w:rPr>
            <w:fldChar w:fldCharType="end"/>
          </w:r>
          <w:r>
            <w:rPr>
              <w:rFonts w:ascii="宋体" w:hAnsi="宋体" w:eastAsia="宋体"/>
              <w:sz w:val="24"/>
              <w:szCs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"_Toc147651397" </w:instrText>
          </w:r>
          <w:r>
            <w:fldChar w:fldCharType="separate"/>
          </w:r>
          <w:r>
            <w:rPr>
              <w:rStyle w:val="19"/>
              <w:rFonts w:ascii="宋体" w:hAnsi="宋体" w:eastAsia="宋体"/>
              <w:sz w:val="24"/>
            </w:rPr>
            <w:t>一、主要职责</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_Toc147651397 \h </w:instrText>
          </w:r>
          <w:r>
            <w:rPr>
              <w:rFonts w:ascii="宋体" w:hAnsi="宋体" w:eastAsia="宋体"/>
              <w:sz w:val="24"/>
            </w:rPr>
            <w:fldChar w:fldCharType="separate"/>
          </w:r>
          <w:r>
            <w:rPr>
              <w:rFonts w:ascii="宋体" w:hAnsi="宋体" w:eastAsia="宋体"/>
              <w:sz w:val="24"/>
            </w:rPr>
            <w:t>1</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"_Toc147651398" </w:instrText>
          </w:r>
          <w:r>
            <w:fldChar w:fldCharType="separate"/>
          </w:r>
          <w:r>
            <w:rPr>
              <w:rStyle w:val="19"/>
              <w:rFonts w:ascii="宋体" w:hAnsi="宋体" w:eastAsia="宋体"/>
              <w:sz w:val="24"/>
            </w:rPr>
            <w:t>二、机构设置</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_Toc147651398 \h </w:instrText>
          </w:r>
          <w:r>
            <w:rPr>
              <w:rFonts w:ascii="宋体" w:hAnsi="宋体" w:eastAsia="宋体"/>
              <w:sz w:val="24"/>
            </w:rPr>
            <w:fldChar w:fldCharType="separate"/>
          </w:r>
          <w:r>
            <w:rPr>
              <w:rFonts w:ascii="宋体" w:hAnsi="宋体" w:eastAsia="宋体"/>
              <w:sz w:val="24"/>
            </w:rPr>
            <w:t>2</w:t>
          </w:r>
          <w:r>
            <w:rPr>
              <w:rFonts w:ascii="宋体" w:hAnsi="宋体" w:eastAsia="宋体"/>
              <w:sz w:val="24"/>
            </w:rPr>
            <w:fldChar w:fldCharType="end"/>
          </w:r>
          <w:r>
            <w:rPr>
              <w:rFonts w:ascii="宋体" w:hAnsi="宋体" w:eastAsia="宋体"/>
              <w:sz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"_Toc147651400" </w:instrText>
          </w:r>
          <w:r>
            <w:fldChar w:fldCharType="separate"/>
          </w:r>
          <w:r>
            <w:rPr>
              <w:rStyle w:val="19"/>
              <w:rFonts w:ascii="宋体" w:hAnsi="宋体" w:eastAsia="宋体"/>
              <w:sz w:val="24"/>
              <w:szCs w:val="24"/>
            </w:rPr>
            <w:t>第二部分 2022年度单位决算情况说明</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_Toc147651400 \h </w:instrText>
          </w:r>
          <w:r>
            <w:rPr>
              <w:rFonts w:ascii="宋体" w:hAnsi="宋体" w:eastAsia="宋体"/>
              <w:sz w:val="24"/>
              <w:szCs w:val="24"/>
            </w:rPr>
            <w:fldChar w:fldCharType="separate"/>
          </w:r>
          <w:r>
            <w:rPr>
              <w:rFonts w:ascii="宋体" w:hAnsi="宋体" w:eastAsia="宋体"/>
              <w:sz w:val="24"/>
              <w:szCs w:val="24"/>
            </w:rPr>
            <w:t>3</w:t>
          </w:r>
          <w:r>
            <w:rPr>
              <w:rFonts w:ascii="宋体" w:hAnsi="宋体" w:eastAsia="宋体"/>
              <w:sz w:val="24"/>
              <w:szCs w:val="24"/>
            </w:rPr>
            <w:fldChar w:fldCharType="end"/>
          </w:r>
          <w:r>
            <w:rPr>
              <w:rFonts w:ascii="宋体" w:hAnsi="宋体" w:eastAsia="宋体"/>
              <w:sz w:val="24"/>
              <w:szCs w:val="24"/>
            </w:rPr>
            <w:fldChar w:fldCharType="end"/>
          </w:r>
        </w:p>
        <w:p>
          <w:pPr>
            <w:pStyle w:val="13"/>
            <w:tabs>
              <w:tab w:val="left" w:pos="1470"/>
            </w:tabs>
            <w:spacing w:line="576" w:lineRule="exact"/>
            <w:ind w:left="640"/>
            <w:rPr>
              <w:rFonts w:ascii="宋体" w:hAnsi="宋体" w:eastAsia="宋体" w:cstheme="minorBidi"/>
              <w:sz w:val="24"/>
            </w:rPr>
          </w:pPr>
          <w:r>
            <w:fldChar w:fldCharType="begin"/>
          </w:r>
          <w:r>
            <w:instrText xml:space="preserve"> HYPERLINK \l "_Toc147651401" </w:instrText>
          </w:r>
          <w:r>
            <w:fldChar w:fldCharType="separate"/>
          </w:r>
          <w:r>
            <w:rPr>
              <w:rStyle w:val="19"/>
              <w:rFonts w:ascii="宋体" w:hAnsi="宋体" w:eastAsia="宋体" w:cstheme="majorBidi"/>
              <w:sz w:val="24"/>
            </w:rPr>
            <w:t>一、</w:t>
          </w:r>
          <w:r>
            <w:rPr>
              <w:rFonts w:ascii="宋体" w:hAnsi="宋体" w:eastAsia="宋体" w:cstheme="minorBidi"/>
              <w:sz w:val="24"/>
            </w:rPr>
            <w:tab/>
          </w:r>
          <w:r>
            <w:rPr>
              <w:rStyle w:val="19"/>
              <w:rFonts w:ascii="宋体" w:hAnsi="宋体" w:eastAsia="宋体"/>
              <w:sz w:val="24"/>
            </w:rPr>
            <w:t>收</w:t>
          </w:r>
          <w:r>
            <w:rPr>
              <w:rStyle w:val="19"/>
              <w:rFonts w:ascii="宋体" w:hAnsi="宋体" w:eastAsia="宋体" w:cstheme="majorBidi"/>
              <w:sz w:val="24"/>
            </w:rPr>
            <w:t>入支出决算总体情况说明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_Toc147651401 \h </w:instrText>
          </w:r>
          <w:r>
            <w:rPr>
              <w:rFonts w:ascii="宋体" w:hAnsi="宋体" w:eastAsia="宋体"/>
              <w:sz w:val="24"/>
            </w:rPr>
            <w:fldChar w:fldCharType="separate"/>
          </w:r>
          <w:r>
            <w:rPr>
              <w:rFonts w:ascii="宋体" w:hAnsi="宋体" w:eastAsia="宋体"/>
              <w:sz w:val="24"/>
            </w:rPr>
            <w:t>3</w:t>
          </w:r>
          <w:r>
            <w:rPr>
              <w:rFonts w:ascii="宋体" w:hAnsi="宋体" w:eastAsia="宋体"/>
              <w:sz w:val="24"/>
            </w:rPr>
            <w:fldChar w:fldCharType="end"/>
          </w:r>
          <w:r>
            <w:rPr>
              <w:rFonts w:ascii="宋体" w:hAnsi="宋体" w:eastAsia="宋体"/>
              <w:sz w:val="24"/>
            </w:rPr>
            <w:fldChar w:fldCharType="end"/>
          </w:r>
        </w:p>
        <w:p>
          <w:pPr>
            <w:pStyle w:val="13"/>
            <w:tabs>
              <w:tab w:val="left" w:pos="1470"/>
            </w:tabs>
            <w:spacing w:line="576" w:lineRule="exact"/>
            <w:ind w:left="640"/>
            <w:rPr>
              <w:rFonts w:ascii="宋体" w:hAnsi="宋体" w:eastAsia="宋体" w:cstheme="minorBidi"/>
              <w:sz w:val="24"/>
            </w:rPr>
          </w:pPr>
          <w:r>
            <w:fldChar w:fldCharType="begin"/>
          </w:r>
          <w:r>
            <w:instrText xml:space="preserve"> HYPERLINK \l "_Toc147651402" </w:instrText>
          </w:r>
          <w:r>
            <w:fldChar w:fldCharType="separate"/>
          </w:r>
          <w:r>
            <w:rPr>
              <w:rStyle w:val="19"/>
              <w:rFonts w:ascii="宋体" w:hAnsi="宋体" w:eastAsia="宋体" w:cstheme="majorBidi"/>
              <w:sz w:val="24"/>
            </w:rPr>
            <w:t>二、</w:t>
          </w:r>
          <w:r>
            <w:rPr>
              <w:rFonts w:ascii="宋体" w:hAnsi="宋体" w:eastAsia="宋体" w:cstheme="minorBidi"/>
              <w:sz w:val="24"/>
            </w:rPr>
            <w:tab/>
          </w:r>
          <w:r>
            <w:rPr>
              <w:rStyle w:val="19"/>
              <w:rFonts w:ascii="宋体" w:hAnsi="宋体" w:eastAsia="宋体"/>
              <w:sz w:val="24"/>
            </w:rPr>
            <w:t>收</w:t>
          </w:r>
          <w:r>
            <w:rPr>
              <w:rStyle w:val="19"/>
              <w:rFonts w:ascii="宋体" w:hAnsi="宋体" w:eastAsia="宋体" w:cstheme="majorBidi"/>
              <w:sz w:val="24"/>
            </w:rPr>
            <w:t>入决算情况说明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_Toc147651402 \h </w:instrText>
          </w:r>
          <w:r>
            <w:rPr>
              <w:rFonts w:ascii="宋体" w:hAnsi="宋体" w:eastAsia="宋体"/>
              <w:sz w:val="24"/>
            </w:rPr>
            <w:fldChar w:fldCharType="separate"/>
          </w:r>
          <w:r>
            <w:rPr>
              <w:rFonts w:ascii="宋体" w:hAnsi="宋体" w:eastAsia="宋体"/>
              <w:sz w:val="24"/>
            </w:rPr>
            <w:t>3</w:t>
          </w:r>
          <w:r>
            <w:rPr>
              <w:rFonts w:ascii="宋体" w:hAnsi="宋体" w:eastAsia="宋体"/>
              <w:sz w:val="24"/>
            </w:rPr>
            <w:fldChar w:fldCharType="end"/>
          </w:r>
          <w:r>
            <w:rPr>
              <w:rFonts w:ascii="宋体" w:hAnsi="宋体" w:eastAsia="宋体"/>
              <w:sz w:val="24"/>
            </w:rPr>
            <w:fldChar w:fldCharType="end"/>
          </w:r>
        </w:p>
        <w:p>
          <w:pPr>
            <w:pStyle w:val="13"/>
            <w:tabs>
              <w:tab w:val="left" w:pos="1470"/>
            </w:tabs>
            <w:spacing w:line="576" w:lineRule="exact"/>
            <w:ind w:left="640"/>
            <w:rPr>
              <w:rFonts w:ascii="宋体" w:hAnsi="宋体" w:eastAsia="宋体" w:cstheme="minorBidi"/>
              <w:sz w:val="24"/>
            </w:rPr>
          </w:pPr>
          <w:r>
            <w:fldChar w:fldCharType="begin"/>
          </w:r>
          <w:r>
            <w:instrText xml:space="preserve"> HYPERLINK \l "_Toc147651404" </w:instrText>
          </w:r>
          <w:r>
            <w:fldChar w:fldCharType="separate"/>
          </w:r>
          <w:r>
            <w:rPr>
              <w:rStyle w:val="19"/>
              <w:rFonts w:ascii="宋体" w:hAnsi="宋体" w:eastAsia="宋体" w:cstheme="majorBidi"/>
              <w:sz w:val="24"/>
            </w:rPr>
            <w:t>三、</w:t>
          </w:r>
          <w:r>
            <w:rPr>
              <w:rFonts w:ascii="宋体" w:hAnsi="宋体" w:eastAsia="宋体" w:cstheme="minorBidi"/>
              <w:sz w:val="24"/>
            </w:rPr>
            <w:tab/>
          </w:r>
          <w:r>
            <w:rPr>
              <w:rStyle w:val="19"/>
              <w:rFonts w:ascii="宋体" w:hAnsi="宋体" w:eastAsia="宋体"/>
              <w:sz w:val="24"/>
            </w:rPr>
            <w:t>支</w:t>
          </w:r>
          <w:r>
            <w:rPr>
              <w:rStyle w:val="19"/>
              <w:rFonts w:ascii="宋体" w:hAnsi="宋体" w:eastAsia="宋体" w:cstheme="majorBidi"/>
              <w:sz w:val="24"/>
            </w:rPr>
            <w:t>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_Toc147651404 \h </w:instrText>
          </w:r>
          <w:r>
            <w:rPr>
              <w:rFonts w:ascii="宋体" w:hAnsi="宋体" w:eastAsia="宋体"/>
              <w:sz w:val="24"/>
            </w:rPr>
            <w:fldChar w:fldCharType="separate"/>
          </w:r>
          <w:r>
            <w:rPr>
              <w:rFonts w:ascii="宋体" w:hAnsi="宋体" w:eastAsia="宋体"/>
              <w:sz w:val="24"/>
            </w:rPr>
            <w:t>4</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"_Toc147651406" </w:instrText>
          </w:r>
          <w:r>
            <w:fldChar w:fldCharType="separate"/>
          </w:r>
          <w:r>
            <w:rPr>
              <w:rStyle w:val="19"/>
              <w:rFonts w:ascii="宋体" w:hAnsi="宋体" w:eastAsia="宋体"/>
              <w:sz w:val="24"/>
            </w:rPr>
            <w:t>四、财</w:t>
          </w:r>
          <w:r>
            <w:rPr>
              <w:rStyle w:val="19"/>
              <w:rFonts w:ascii="宋体" w:hAnsi="宋体" w:eastAsia="宋体" w:cstheme="majorBidi"/>
              <w:sz w:val="24"/>
            </w:rPr>
            <w:t>政拨款收入支出决算总体情况说明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_Toc147651406 \h </w:instrText>
          </w:r>
          <w:r>
            <w:rPr>
              <w:rFonts w:ascii="宋体" w:hAnsi="宋体" w:eastAsia="宋体"/>
              <w:sz w:val="24"/>
            </w:rPr>
            <w:fldChar w:fldCharType="separate"/>
          </w:r>
          <w:r>
            <w:rPr>
              <w:rFonts w:ascii="宋体" w:hAnsi="宋体" w:eastAsia="宋体"/>
              <w:sz w:val="24"/>
            </w:rPr>
            <w:t>4</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"_Toc147651407" </w:instrText>
          </w:r>
          <w:r>
            <w:fldChar w:fldCharType="separate"/>
          </w:r>
          <w:r>
            <w:rPr>
              <w:rStyle w:val="19"/>
              <w:rFonts w:ascii="宋体" w:hAnsi="宋体" w:eastAsia="宋体"/>
              <w:sz w:val="24"/>
            </w:rPr>
            <w:t>五、一</w:t>
          </w:r>
          <w:r>
            <w:rPr>
              <w:rStyle w:val="19"/>
              <w:rFonts w:ascii="宋体" w:hAnsi="宋体" w:eastAsia="宋体" w:cstheme="majorBidi"/>
              <w:sz w:val="24"/>
            </w:rPr>
            <w:t>般公共预算财政拨款支出决算情况说明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_Toc147651407 \h </w:instrText>
          </w:r>
          <w:r>
            <w:rPr>
              <w:rFonts w:ascii="宋体" w:hAnsi="宋体" w:eastAsia="宋体"/>
              <w:sz w:val="24"/>
            </w:rPr>
            <w:fldChar w:fldCharType="separate"/>
          </w:r>
          <w:r>
            <w:rPr>
              <w:rFonts w:ascii="宋体" w:hAnsi="宋体" w:eastAsia="宋体"/>
              <w:sz w:val="24"/>
            </w:rPr>
            <w:t>5</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"_Toc147651408" </w:instrText>
          </w:r>
          <w:r>
            <w:fldChar w:fldCharType="separate"/>
          </w:r>
          <w:r>
            <w:rPr>
              <w:rStyle w:val="19"/>
              <w:rFonts w:ascii="宋体" w:hAnsi="宋体" w:eastAsia="宋体"/>
              <w:sz w:val="24"/>
            </w:rPr>
            <w:t>（一）一般公共预算财政拨款支出决算总体情况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_Toc147651408 \h </w:instrText>
          </w:r>
          <w:r>
            <w:rPr>
              <w:rFonts w:ascii="宋体" w:hAnsi="宋体" w:eastAsia="宋体"/>
              <w:sz w:val="24"/>
            </w:rPr>
            <w:fldChar w:fldCharType="separate"/>
          </w:r>
          <w:r>
            <w:rPr>
              <w:rFonts w:ascii="宋体" w:hAnsi="宋体" w:eastAsia="宋体"/>
              <w:sz w:val="24"/>
            </w:rPr>
            <w:t>5</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"_Toc147651409" </w:instrText>
          </w:r>
          <w:r>
            <w:fldChar w:fldCharType="separate"/>
          </w:r>
          <w:r>
            <w:rPr>
              <w:rStyle w:val="19"/>
              <w:rFonts w:ascii="宋体" w:hAnsi="宋体" w:eastAsia="宋体"/>
              <w:sz w:val="24"/>
            </w:rPr>
            <w:t>（二）一般公共预算财政拨款支出决算结构情况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_Toc147651409 \h </w:instrText>
          </w:r>
          <w:r>
            <w:rPr>
              <w:rFonts w:ascii="宋体" w:hAnsi="宋体" w:eastAsia="宋体"/>
              <w:sz w:val="24"/>
            </w:rPr>
            <w:fldChar w:fldCharType="separate"/>
          </w:r>
          <w:r>
            <w:rPr>
              <w:rFonts w:ascii="宋体" w:hAnsi="宋体" w:eastAsia="宋体"/>
              <w:sz w:val="24"/>
            </w:rPr>
            <w:t>6</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"_Toc147651410" </w:instrText>
          </w:r>
          <w:r>
            <w:fldChar w:fldCharType="separate"/>
          </w:r>
          <w:r>
            <w:rPr>
              <w:rStyle w:val="19"/>
              <w:rFonts w:ascii="宋体" w:hAnsi="宋体" w:eastAsia="宋体"/>
              <w:sz w:val="24"/>
            </w:rPr>
            <w:t>（三）一般公共预算财政拨款支出决算具体情况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_Toc147651410 \h </w:instrText>
          </w:r>
          <w:r>
            <w:rPr>
              <w:rFonts w:ascii="宋体" w:hAnsi="宋体" w:eastAsia="宋体"/>
              <w:sz w:val="24"/>
            </w:rPr>
            <w:fldChar w:fldCharType="separate"/>
          </w:r>
          <w:r>
            <w:rPr>
              <w:rFonts w:ascii="宋体" w:hAnsi="宋体" w:eastAsia="宋体"/>
              <w:sz w:val="24"/>
            </w:rPr>
            <w:t>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"_Toc147651412" </w:instrText>
          </w:r>
          <w:r>
            <w:fldChar w:fldCharType="separate"/>
          </w:r>
          <w:r>
            <w:rPr>
              <w:rStyle w:val="19"/>
              <w:rFonts w:ascii="宋体" w:hAnsi="宋体" w:eastAsia="宋体"/>
              <w:sz w:val="24"/>
            </w:rPr>
            <w:t>六、一</w:t>
          </w:r>
          <w:r>
            <w:rPr>
              <w:rStyle w:val="19"/>
              <w:rFonts w:ascii="宋体" w:hAnsi="宋体" w:eastAsia="宋体" w:cstheme="majorBidi"/>
              <w:sz w:val="24"/>
            </w:rPr>
            <w:t>般公共预算财政拨款基本支出决算情况说明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_Toc147651412 \h </w:instrText>
          </w:r>
          <w:r>
            <w:rPr>
              <w:rFonts w:ascii="宋体" w:hAnsi="宋体" w:eastAsia="宋体"/>
              <w:sz w:val="24"/>
            </w:rPr>
            <w:fldChar w:fldCharType="separate"/>
          </w:r>
          <w:r>
            <w:rPr>
              <w:rFonts w:ascii="宋体" w:hAnsi="宋体" w:eastAsia="宋体"/>
              <w:sz w:val="24"/>
            </w:rPr>
            <w:t>8</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"_Toc147651413" </w:instrText>
          </w:r>
          <w:r>
            <w:fldChar w:fldCharType="separate"/>
          </w:r>
          <w:r>
            <w:rPr>
              <w:rStyle w:val="19"/>
              <w:rFonts w:ascii="宋体" w:hAnsi="宋体" w:eastAsia="宋体"/>
              <w:sz w:val="24"/>
            </w:rPr>
            <w:t>七、</w:t>
          </w:r>
          <w:r>
            <w:rPr>
              <w:rStyle w:val="19"/>
              <w:rFonts w:ascii="宋体" w:hAnsi="宋体" w:eastAsia="宋体" w:cstheme="majorBidi"/>
              <w:sz w:val="24"/>
            </w:rPr>
            <w:t>财政拨款“三公”经费支出决算情况说明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_Toc147651413 \h </w:instrText>
          </w:r>
          <w:r>
            <w:rPr>
              <w:rFonts w:ascii="宋体" w:hAnsi="宋体" w:eastAsia="宋体"/>
              <w:sz w:val="24"/>
            </w:rPr>
            <w:fldChar w:fldCharType="separate"/>
          </w:r>
          <w:r>
            <w:rPr>
              <w:rFonts w:ascii="宋体" w:hAnsi="宋体" w:eastAsia="宋体"/>
              <w:sz w:val="24"/>
            </w:rPr>
            <w:t>8</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"_Toc147651414" </w:instrText>
          </w:r>
          <w:r>
            <w:fldChar w:fldCharType="separate"/>
          </w:r>
          <w:r>
            <w:rPr>
              <w:rStyle w:val="19"/>
              <w:rFonts w:ascii="宋体" w:hAnsi="宋体" w:eastAsia="宋体"/>
              <w:sz w:val="24"/>
            </w:rPr>
            <w:t>（一）“三公”经费财政拨款支出决算总体情况说明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_Toc147651414 \h </w:instrText>
          </w:r>
          <w:r>
            <w:rPr>
              <w:rFonts w:ascii="宋体" w:hAnsi="宋体" w:eastAsia="宋体"/>
              <w:sz w:val="24"/>
            </w:rPr>
            <w:fldChar w:fldCharType="separate"/>
          </w:r>
          <w:r>
            <w:rPr>
              <w:rFonts w:ascii="宋体" w:hAnsi="宋体" w:eastAsia="宋体"/>
              <w:sz w:val="24"/>
            </w:rPr>
            <w:t>8</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"_Toc147651415" </w:instrText>
          </w:r>
          <w:r>
            <w:fldChar w:fldCharType="separate"/>
          </w:r>
          <w:r>
            <w:rPr>
              <w:rStyle w:val="19"/>
              <w:rFonts w:ascii="宋体" w:hAnsi="宋体" w:eastAsia="宋体"/>
              <w:sz w:val="24"/>
            </w:rPr>
            <w:t>（二）“三公”经费财政拨款支出决算具体情况说明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_Toc147651415 \h </w:instrText>
          </w:r>
          <w:r>
            <w:rPr>
              <w:rFonts w:ascii="宋体" w:hAnsi="宋体" w:eastAsia="宋体"/>
              <w:sz w:val="24"/>
            </w:rPr>
            <w:fldChar w:fldCharType="separate"/>
          </w:r>
          <w:r>
            <w:rPr>
              <w:rFonts w:ascii="宋体" w:hAnsi="宋体" w:eastAsia="宋体"/>
              <w:sz w:val="24"/>
            </w:rPr>
            <w:t>9</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"_Toc147651416" </w:instrText>
          </w:r>
          <w:r>
            <w:fldChar w:fldCharType="separate"/>
          </w:r>
          <w:r>
            <w:rPr>
              <w:rStyle w:val="19"/>
              <w:rFonts w:ascii="宋体" w:hAnsi="宋体" w:eastAsia="宋体"/>
              <w:sz w:val="24"/>
            </w:rPr>
            <w:t>八、</w:t>
          </w:r>
          <w:r>
            <w:rPr>
              <w:rStyle w:val="19"/>
              <w:rFonts w:ascii="宋体" w:hAnsi="宋体" w:eastAsia="宋体" w:cstheme="majorBidi"/>
              <w:sz w:val="24"/>
            </w:rPr>
            <w:t>政府性基金预算支出决算情况说明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_Toc147651416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"_Toc147651417" </w:instrText>
          </w:r>
          <w:r>
            <w:fldChar w:fldCharType="separate"/>
          </w:r>
          <w:r>
            <w:rPr>
              <w:rStyle w:val="19"/>
              <w:rFonts w:ascii="宋体" w:hAnsi="宋体" w:eastAsia="宋体" w:cstheme="majorBidi"/>
              <w:sz w:val="24"/>
            </w:rPr>
            <w:t>九、 国有资本经营预算支出决算情况说明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_Toc147651417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"_Toc147651418" </w:instrText>
          </w:r>
          <w:r>
            <w:fldChar w:fldCharType="separate"/>
          </w:r>
          <w:r>
            <w:rPr>
              <w:rStyle w:val="19"/>
              <w:rFonts w:ascii="宋体" w:hAnsi="宋体" w:eastAsia="宋体" w:cstheme="majorBidi"/>
              <w:sz w:val="24"/>
            </w:rPr>
            <w:t>十、 其他重要事项的情况说明</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_Toc147651418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"_Toc147651419" </w:instrText>
          </w:r>
          <w:r>
            <w:fldChar w:fldCharType="separate"/>
          </w:r>
          <w:r>
            <w:rPr>
              <w:rStyle w:val="19"/>
              <w:rFonts w:ascii="宋体" w:hAnsi="宋体" w:eastAsia="宋体"/>
              <w:sz w:val="24"/>
            </w:rPr>
            <w:t>（一）机关运行经费支出情况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_Toc147651419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"_Toc147651420" </w:instrText>
          </w:r>
          <w:r>
            <w:fldChar w:fldCharType="separate"/>
          </w:r>
          <w:r>
            <w:rPr>
              <w:rStyle w:val="19"/>
              <w:rFonts w:ascii="宋体" w:hAnsi="宋体" w:eastAsia="宋体"/>
              <w:sz w:val="24"/>
            </w:rPr>
            <w:t>（二）政府采购支出情况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_Toc147651420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"_Toc147651421" </w:instrText>
          </w:r>
          <w:r>
            <w:fldChar w:fldCharType="separate"/>
          </w:r>
          <w:r>
            <w:rPr>
              <w:rStyle w:val="19"/>
              <w:rFonts w:ascii="宋体" w:hAnsi="宋体" w:eastAsia="宋体"/>
              <w:sz w:val="24"/>
            </w:rPr>
            <w:t>（三）国有资产占有使用情况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_Toc147651421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8"/>
            <w:spacing w:line="576" w:lineRule="exact"/>
            <w:ind w:left="1280"/>
            <w:rPr>
              <w:rFonts w:ascii="宋体" w:hAnsi="宋体" w:eastAsia="宋体" w:cstheme="minorBidi"/>
              <w:sz w:val="24"/>
            </w:rPr>
          </w:pPr>
          <w:r>
            <w:fldChar w:fldCharType="begin"/>
          </w:r>
          <w:r>
            <w:instrText xml:space="preserve"> HYPERLINK \l "_Toc147651422" </w:instrText>
          </w:r>
          <w:r>
            <w:fldChar w:fldCharType="separate"/>
          </w:r>
          <w:r>
            <w:rPr>
              <w:rStyle w:val="19"/>
              <w:rFonts w:ascii="宋体" w:hAnsi="宋体" w:eastAsia="宋体"/>
              <w:sz w:val="24"/>
            </w:rPr>
            <w:t>（四）预算绩效管理情况</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_Toc147651422 \h </w:instrText>
          </w:r>
          <w:r>
            <w:rPr>
              <w:rFonts w:ascii="宋体" w:hAnsi="宋体" w:eastAsia="宋体"/>
              <w:sz w:val="24"/>
            </w:rPr>
            <w:fldChar w:fldCharType="separate"/>
          </w:r>
          <w:r>
            <w:rPr>
              <w:rFonts w:ascii="宋体" w:hAnsi="宋体" w:eastAsia="宋体"/>
              <w:sz w:val="24"/>
            </w:rPr>
            <w:t>10</w:t>
          </w:r>
          <w:r>
            <w:rPr>
              <w:rFonts w:ascii="宋体" w:hAnsi="宋体" w:eastAsia="宋体"/>
              <w:sz w:val="24"/>
            </w:rPr>
            <w:fldChar w:fldCharType="end"/>
          </w:r>
          <w:r>
            <w:rPr>
              <w:rFonts w:ascii="宋体" w:hAnsi="宋体" w:eastAsia="宋体"/>
              <w:sz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"_Toc147651423" </w:instrText>
          </w:r>
          <w:r>
            <w:fldChar w:fldCharType="separate"/>
          </w:r>
          <w:r>
            <w:rPr>
              <w:rStyle w:val="19"/>
              <w:rFonts w:ascii="宋体" w:hAnsi="宋体" w:eastAsia="宋体"/>
              <w:kern w:val="44"/>
              <w:sz w:val="24"/>
              <w:szCs w:val="24"/>
            </w:rPr>
            <w:t>第三部分</w:t>
          </w:r>
          <w:r>
            <w:rPr>
              <w:rStyle w:val="19"/>
              <w:rFonts w:ascii="宋体" w:hAnsi="宋体" w:eastAsia="宋体"/>
              <w:sz w:val="24"/>
              <w:szCs w:val="24"/>
            </w:rPr>
            <w:t xml:space="preserve"> 名</w:t>
          </w:r>
          <w:r>
            <w:rPr>
              <w:rStyle w:val="19"/>
              <w:rFonts w:ascii="宋体" w:hAnsi="宋体" w:eastAsia="宋体"/>
              <w:kern w:val="44"/>
              <w:sz w:val="24"/>
              <w:szCs w:val="24"/>
            </w:rPr>
            <w:t>词解释</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_Toc147651423 \h </w:instrText>
          </w:r>
          <w:r>
            <w:rPr>
              <w:rFonts w:ascii="宋体" w:hAnsi="宋体" w:eastAsia="宋体"/>
              <w:sz w:val="24"/>
              <w:szCs w:val="24"/>
            </w:rPr>
            <w:fldChar w:fldCharType="separate"/>
          </w:r>
          <w:r>
            <w:rPr>
              <w:rFonts w:ascii="宋体" w:hAnsi="宋体" w:eastAsia="宋体"/>
              <w:sz w:val="24"/>
              <w:szCs w:val="24"/>
            </w:rPr>
            <w:t>11</w:t>
          </w:r>
          <w:r>
            <w:rPr>
              <w:rFonts w:ascii="宋体" w:hAnsi="宋体" w:eastAsia="宋体"/>
              <w:sz w:val="24"/>
              <w:szCs w:val="24"/>
            </w:rPr>
            <w:fldChar w:fldCharType="end"/>
          </w:r>
          <w:r>
            <w:rPr>
              <w:rFonts w:ascii="宋体" w:hAnsi="宋体" w:eastAsia="宋体"/>
              <w:sz w:val="24"/>
              <w:szCs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"_Toc147651424" </w:instrText>
          </w:r>
          <w:r>
            <w:fldChar w:fldCharType="separate"/>
          </w:r>
          <w:r>
            <w:rPr>
              <w:rStyle w:val="19"/>
              <w:rFonts w:ascii="宋体" w:hAnsi="宋体" w:eastAsia="宋体" w:cs="黑体"/>
              <w:sz w:val="24"/>
              <w:szCs w:val="24"/>
            </w:rPr>
            <w:t>附件</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_Toc147651424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"_Toc147651425" </w:instrText>
          </w:r>
          <w:r>
            <w:fldChar w:fldCharType="separate"/>
          </w:r>
          <w:r>
            <w:rPr>
              <w:rStyle w:val="19"/>
              <w:rFonts w:ascii="宋体" w:hAnsi="宋体" w:eastAsia="宋体" w:cs="宋体"/>
              <w:kern w:val="0"/>
              <w:sz w:val="24"/>
              <w:szCs w:val="24"/>
            </w:rPr>
            <w:t>部门预算项目支出绩效自评表（2022年度）</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_Toc147651425 \h </w:instrText>
          </w:r>
          <w:r>
            <w:rPr>
              <w:rFonts w:ascii="宋体" w:hAnsi="宋体" w:eastAsia="宋体"/>
              <w:sz w:val="24"/>
              <w:szCs w:val="24"/>
            </w:rPr>
            <w:fldChar w:fldCharType="separate"/>
          </w:r>
          <w:r>
            <w:rPr>
              <w:rFonts w:ascii="宋体" w:hAnsi="宋体" w:eastAsia="宋体"/>
              <w:sz w:val="24"/>
              <w:szCs w:val="24"/>
            </w:rPr>
            <w:t>16</w:t>
          </w:r>
          <w:r>
            <w:rPr>
              <w:rFonts w:ascii="宋体" w:hAnsi="宋体" w:eastAsia="宋体"/>
              <w:sz w:val="24"/>
              <w:szCs w:val="24"/>
            </w:rPr>
            <w:fldChar w:fldCharType="end"/>
          </w:r>
          <w:r>
            <w:rPr>
              <w:rFonts w:ascii="宋体" w:hAnsi="宋体" w:eastAsia="宋体"/>
              <w:sz w:val="24"/>
              <w:szCs w:val="24"/>
            </w:rPr>
            <w:fldChar w:fldCharType="end"/>
          </w:r>
        </w:p>
        <w:p>
          <w:pPr>
            <w:pStyle w:val="12"/>
            <w:spacing w:line="576" w:lineRule="exact"/>
            <w:rPr>
              <w:rFonts w:ascii="宋体" w:hAnsi="宋体" w:eastAsia="宋体" w:cstheme="minorBidi"/>
              <w:sz w:val="24"/>
              <w:szCs w:val="24"/>
            </w:rPr>
          </w:pPr>
          <w:r>
            <w:fldChar w:fldCharType="begin"/>
          </w:r>
          <w:r>
            <w:instrText xml:space="preserve"> HYPERLINK \l "_Toc147651426" </w:instrText>
          </w:r>
          <w:r>
            <w:fldChar w:fldCharType="separate"/>
          </w:r>
          <w:r>
            <w:rPr>
              <w:rStyle w:val="19"/>
              <w:rFonts w:ascii="宋体" w:hAnsi="宋体" w:eastAsia="宋体"/>
              <w:sz w:val="24"/>
              <w:szCs w:val="24"/>
            </w:rPr>
            <w:t>第</w:t>
          </w:r>
          <w:r>
            <w:rPr>
              <w:rStyle w:val="19"/>
              <w:rFonts w:ascii="宋体" w:hAnsi="宋体" w:eastAsia="宋体"/>
              <w:kern w:val="44"/>
              <w:sz w:val="24"/>
              <w:szCs w:val="24"/>
            </w:rPr>
            <w:t>五部分 附表</w:t>
          </w:r>
          <w:r>
            <w:rPr>
              <w:rFonts w:ascii="宋体" w:hAnsi="宋体" w:eastAsia="宋体"/>
              <w:sz w:val="24"/>
              <w:szCs w:val="24"/>
            </w:rPr>
            <w:tab/>
          </w:r>
          <w:r>
            <w:rPr>
              <w:rFonts w:ascii="宋体" w:hAnsi="宋体" w:eastAsia="宋体"/>
              <w:sz w:val="24"/>
              <w:szCs w:val="24"/>
            </w:rPr>
            <w:fldChar w:fldCharType="begin"/>
          </w:r>
          <w:r>
            <w:rPr>
              <w:rFonts w:ascii="宋体" w:hAnsi="宋体" w:eastAsia="宋体"/>
              <w:sz w:val="24"/>
              <w:szCs w:val="24"/>
            </w:rPr>
            <w:instrText xml:space="preserve"> PAGEREF _Toc147651426 \h </w:instrText>
          </w:r>
          <w:r>
            <w:rPr>
              <w:rFonts w:ascii="宋体" w:hAnsi="宋体" w:eastAsia="宋体"/>
              <w:sz w:val="24"/>
              <w:szCs w:val="24"/>
            </w:rPr>
            <w:fldChar w:fldCharType="separate"/>
          </w:r>
          <w:r>
            <w:rPr>
              <w:rFonts w:ascii="宋体" w:hAnsi="宋体" w:eastAsia="宋体"/>
              <w:sz w:val="24"/>
              <w:szCs w:val="24"/>
            </w:rPr>
            <w:t>17</w:t>
          </w:r>
          <w:r>
            <w:rPr>
              <w:rFonts w:ascii="宋体" w:hAnsi="宋体" w:eastAsia="宋体"/>
              <w:sz w:val="24"/>
              <w:szCs w:val="24"/>
            </w:rPr>
            <w:fldChar w:fldCharType="end"/>
          </w:r>
          <w:r>
            <w:rPr>
              <w:rFonts w:ascii="宋体" w:hAnsi="宋体" w:eastAsia="宋体"/>
              <w:sz w:val="24"/>
              <w:szCs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"_Toc147651427" </w:instrText>
          </w:r>
          <w:r>
            <w:fldChar w:fldCharType="separate"/>
          </w:r>
          <w:r>
            <w:rPr>
              <w:rStyle w:val="19"/>
              <w:rFonts w:ascii="宋体" w:hAnsi="宋体" w:eastAsia="宋体"/>
              <w:sz w:val="24"/>
            </w:rPr>
            <w:t>一、收入支出决算总表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_Toc147651427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"_Toc147651428" </w:instrText>
          </w:r>
          <w:r>
            <w:fldChar w:fldCharType="separate"/>
          </w:r>
          <w:r>
            <w:rPr>
              <w:rStyle w:val="19"/>
              <w:rFonts w:ascii="宋体" w:hAnsi="宋体" w:eastAsia="宋体"/>
              <w:sz w:val="24"/>
            </w:rPr>
            <w:t>二、收入决算表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_Toc147651428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"_Toc147651429" </w:instrText>
          </w:r>
          <w:r>
            <w:fldChar w:fldCharType="separate"/>
          </w:r>
          <w:r>
            <w:rPr>
              <w:rStyle w:val="19"/>
              <w:rFonts w:ascii="宋体" w:hAnsi="宋体" w:eastAsia="宋体"/>
              <w:sz w:val="24"/>
            </w:rPr>
            <w:t>三、支出决算表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_Toc147651429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"_Toc147651430" </w:instrText>
          </w:r>
          <w:r>
            <w:fldChar w:fldCharType="separate"/>
          </w:r>
          <w:r>
            <w:rPr>
              <w:rStyle w:val="19"/>
              <w:rFonts w:ascii="宋体" w:hAnsi="宋体" w:eastAsia="宋体"/>
              <w:sz w:val="24"/>
            </w:rPr>
            <w:t>四、财政拨款收入支出决算总表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_Toc147651430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"_Toc147651431" </w:instrText>
          </w:r>
          <w:r>
            <w:fldChar w:fldCharType="separate"/>
          </w:r>
          <w:r>
            <w:rPr>
              <w:rStyle w:val="19"/>
              <w:rFonts w:ascii="宋体" w:hAnsi="宋体" w:eastAsia="宋体"/>
              <w:sz w:val="24"/>
            </w:rPr>
            <w:t>五、财政拨款支出决算明细表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_Toc147651431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"_Toc147651432" </w:instrText>
          </w:r>
          <w:r>
            <w:fldChar w:fldCharType="separate"/>
          </w:r>
          <w:r>
            <w:rPr>
              <w:rStyle w:val="19"/>
              <w:rFonts w:ascii="宋体" w:hAnsi="宋体" w:eastAsia="宋体"/>
              <w:sz w:val="24"/>
            </w:rPr>
            <w:t>六、一般公共预算财政拨款支出决算表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_Toc147651432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"_Toc147651433" </w:instrText>
          </w:r>
          <w:r>
            <w:fldChar w:fldCharType="separate"/>
          </w:r>
          <w:r>
            <w:rPr>
              <w:rStyle w:val="19"/>
              <w:rFonts w:ascii="宋体" w:hAnsi="宋体" w:eastAsia="宋体"/>
              <w:sz w:val="24"/>
            </w:rPr>
            <w:t>七、一般公共预算财政拨款支出决算明细表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_Toc147651433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"_Toc147651434" </w:instrText>
          </w:r>
          <w:r>
            <w:fldChar w:fldCharType="separate"/>
          </w:r>
          <w:r>
            <w:rPr>
              <w:rStyle w:val="19"/>
              <w:rFonts w:ascii="宋体" w:hAnsi="宋体" w:eastAsia="宋体"/>
              <w:sz w:val="24"/>
            </w:rPr>
            <w:t>八、一般公共预算财政拨款基本支出决算表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_Toc147651434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"_Toc147651435" </w:instrText>
          </w:r>
          <w:r>
            <w:fldChar w:fldCharType="separate"/>
          </w:r>
          <w:r>
            <w:rPr>
              <w:rStyle w:val="19"/>
              <w:rFonts w:ascii="宋体" w:hAnsi="宋体" w:eastAsia="宋体"/>
              <w:sz w:val="24"/>
            </w:rPr>
            <w:t>九、一般公共预算财政拨款项目支出决算表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_Toc147651435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"_Toc147651436" </w:instrText>
          </w:r>
          <w:r>
            <w:fldChar w:fldCharType="separate"/>
          </w:r>
          <w:r>
            <w:rPr>
              <w:rStyle w:val="19"/>
              <w:rFonts w:ascii="宋体" w:hAnsi="宋体" w:eastAsia="宋体"/>
              <w:sz w:val="24"/>
            </w:rPr>
            <w:t>十、政府性基金预算财政拨款收入支出决算表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_Toc147651436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"_Toc147651437" </w:instrText>
          </w:r>
          <w:r>
            <w:fldChar w:fldCharType="separate"/>
          </w:r>
          <w:r>
            <w:rPr>
              <w:rStyle w:val="19"/>
              <w:rFonts w:ascii="宋体" w:hAnsi="宋体" w:eastAsia="宋体"/>
              <w:sz w:val="24"/>
            </w:rPr>
            <w:t>十一、国有资本经营预算财政拨款收入支出决算表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_Toc147651437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"_Toc147651438" </w:instrText>
          </w:r>
          <w:r>
            <w:fldChar w:fldCharType="separate"/>
          </w:r>
          <w:r>
            <w:rPr>
              <w:rStyle w:val="19"/>
              <w:rFonts w:ascii="宋体" w:hAnsi="宋体" w:eastAsia="宋体"/>
              <w:sz w:val="24"/>
            </w:rPr>
            <w:t>十二、国有资本经营预算财政拨款支出决算表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_Toc147651438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pStyle w:val="13"/>
            <w:spacing w:line="576" w:lineRule="exact"/>
            <w:ind w:left="640"/>
            <w:rPr>
              <w:rFonts w:ascii="宋体" w:hAnsi="宋体" w:eastAsia="宋体" w:cstheme="minorBidi"/>
              <w:sz w:val="24"/>
            </w:rPr>
          </w:pPr>
          <w:r>
            <w:fldChar w:fldCharType="begin"/>
          </w:r>
          <w:r>
            <w:instrText xml:space="preserve"> HYPERLINK \l "_Toc147651439" </w:instrText>
          </w:r>
          <w:r>
            <w:fldChar w:fldCharType="separate"/>
          </w:r>
          <w:r>
            <w:rPr>
              <w:rStyle w:val="19"/>
              <w:rFonts w:ascii="宋体" w:hAnsi="宋体" w:eastAsia="宋体"/>
              <w:sz w:val="24"/>
            </w:rPr>
            <w:t>十三、财政拨款“三公”经费支出决算表</w:t>
          </w:r>
          <w:r>
            <w:rPr>
              <w:rFonts w:ascii="宋体" w:hAnsi="宋体" w:eastAsia="宋体"/>
              <w:sz w:val="24"/>
            </w:rPr>
            <w:tab/>
          </w:r>
          <w:r>
            <w:rPr>
              <w:rFonts w:ascii="宋体" w:hAnsi="宋体" w:eastAsia="宋体"/>
              <w:sz w:val="24"/>
            </w:rPr>
            <w:fldChar w:fldCharType="begin"/>
          </w:r>
          <w:r>
            <w:rPr>
              <w:rFonts w:ascii="宋体" w:hAnsi="宋体" w:eastAsia="宋体"/>
              <w:sz w:val="24"/>
            </w:rPr>
            <w:instrText xml:space="preserve"> PAGEREF _Toc147651439 \h </w:instrText>
          </w:r>
          <w:r>
            <w:rPr>
              <w:rFonts w:ascii="宋体" w:hAnsi="宋体" w:eastAsia="宋体"/>
              <w:sz w:val="24"/>
            </w:rPr>
            <w:fldChar w:fldCharType="separate"/>
          </w:r>
          <w:r>
            <w:rPr>
              <w:rFonts w:ascii="宋体" w:hAnsi="宋体" w:eastAsia="宋体"/>
              <w:sz w:val="24"/>
            </w:rPr>
            <w:t>17</w:t>
          </w:r>
          <w:r>
            <w:rPr>
              <w:rFonts w:ascii="宋体" w:hAnsi="宋体" w:eastAsia="宋体"/>
              <w:sz w:val="24"/>
            </w:rPr>
            <w:fldChar w:fldCharType="end"/>
          </w:r>
          <w:r>
            <w:rPr>
              <w:rFonts w:ascii="宋体" w:hAnsi="宋体" w:eastAsia="宋体"/>
              <w:sz w:val="24"/>
            </w:rPr>
            <w:fldChar w:fldCharType="end"/>
          </w:r>
        </w:p>
        <w:p>
          <w:pPr>
            <w:spacing w:line="576" w:lineRule="exact"/>
            <w:rPr>
              <w:rFonts w:ascii="仿宋_GB2312"/>
              <w:sz w:val="28"/>
              <w:szCs w:val="28"/>
            </w:rPr>
          </w:pPr>
          <w:r>
            <w:rPr>
              <w:rFonts w:hint="eastAsia" w:ascii="仿宋_GB2312"/>
              <w:b/>
              <w:bCs/>
              <w:sz w:val="28"/>
              <w:szCs w:val="28"/>
              <w:lang w:val="zh-CN"/>
            </w:rPr>
            <w:fldChar w:fldCharType="end"/>
          </w:r>
        </w:p>
      </w:sdtContent>
    </w:sdt>
    <w:p>
      <w:pPr>
        <w:pStyle w:val="3"/>
        <w:jc w:val="center"/>
        <w:rPr>
          <w:rFonts w:ascii="黑体" w:hAnsi="黑体" w:eastAsia="黑体"/>
          <w:b w:val="0"/>
        </w:rPr>
        <w:sectPr>
          <w:headerReference r:id="rId3" w:type="default"/>
          <w:pgSz w:w="11906" w:h="16838"/>
          <w:pgMar w:top="1440" w:right="1800" w:bottom="1440" w:left="1800" w:header="851" w:footer="992" w:gutter="0"/>
          <w:pgNumType w:start="1"/>
          <w:cols w:space="425" w:num="1"/>
          <w:titlePg/>
          <w:docGrid w:type="lines" w:linePitch="312" w:charSpace="0"/>
        </w:sectPr>
      </w:pPr>
      <w:bookmarkStart w:id="16" w:name="_Toc147651396"/>
      <w:bookmarkStart w:id="17" w:name="_Toc15396599"/>
      <w:bookmarkStart w:id="18" w:name="_Toc15377196"/>
    </w:p>
    <w:p>
      <w:pPr>
        <w:pStyle w:val="3"/>
        <w:jc w:val="center"/>
        <w:rPr>
          <w:rStyle w:val="30"/>
          <w:rFonts w:ascii="黑体" w:hAnsi="黑体" w:eastAsia="黑体"/>
          <w:b/>
          <w:bCs w:val="0"/>
        </w:rPr>
      </w:pPr>
      <w:r>
        <w:rPr>
          <w:rFonts w:hint="eastAsia" w:ascii="黑体" w:hAnsi="黑体" w:eastAsia="黑体"/>
          <w:b w:val="0"/>
        </w:rPr>
        <w:t xml:space="preserve">第一部分 </w:t>
      </w:r>
      <w:r>
        <w:rPr>
          <w:rStyle w:val="30"/>
          <w:rFonts w:hint="eastAsia" w:ascii="黑体" w:hAnsi="黑体" w:eastAsia="黑体"/>
          <w:b w:val="0"/>
          <w:bCs w:val="0"/>
        </w:rPr>
        <w:t>单位概况</w:t>
      </w:r>
      <w:bookmarkEnd w:id="16"/>
      <w:bookmarkEnd w:id="17"/>
      <w:bookmarkEnd w:id="18"/>
    </w:p>
    <w:p>
      <w:pPr>
        <w:pStyle w:val="4"/>
        <w:rPr>
          <w:rFonts w:ascii="黑体" w:hAnsi="黑体" w:eastAsia="黑体"/>
          <w:b w:val="0"/>
        </w:rPr>
      </w:pPr>
      <w:bookmarkStart w:id="19" w:name="_Toc15377197"/>
      <w:bookmarkStart w:id="20" w:name="_Toc15396600"/>
      <w:bookmarkStart w:id="21" w:name="_Toc147651397"/>
      <w:r>
        <w:rPr>
          <w:rFonts w:hint="eastAsia" w:ascii="黑体" w:hAnsi="黑体" w:eastAsia="黑体"/>
          <w:b w:val="0"/>
        </w:rPr>
        <w:t>一、</w:t>
      </w:r>
      <w:bookmarkEnd w:id="19"/>
      <w:bookmarkEnd w:id="20"/>
      <w:r>
        <w:rPr>
          <w:rFonts w:hint="eastAsia" w:ascii="黑体" w:hAnsi="黑体" w:eastAsia="黑体"/>
          <w:b w:val="0"/>
        </w:rPr>
        <w:t>主要职责</w:t>
      </w:r>
      <w:bookmarkEnd w:id="21"/>
    </w:p>
    <w:p>
      <w:pPr>
        <w:ind w:firstLine="640" w:firstLineChars="200"/>
        <w:rPr>
          <w:rFonts w:ascii="仿宋_GB2312" w:hAnsi="仿宋"/>
          <w:szCs w:val="32"/>
        </w:rPr>
      </w:pPr>
      <w:r>
        <w:rPr>
          <w:rFonts w:hint="eastAsia" w:ascii="仿宋_GB2312" w:hAnsi="仿宋"/>
          <w:szCs w:val="32"/>
        </w:rPr>
        <w:t>1.根据市政府授权,依照《中华人民共和国公司法</w:t>
      </w:r>
      <w:bookmarkStart w:id="109" w:name="_GoBack"/>
      <w:bookmarkEnd w:id="109"/>
      <w:r>
        <w:rPr>
          <w:rFonts w:hint="eastAsia" w:ascii="仿宋_GB2312" w:hAnsi="仿宋"/>
          <w:szCs w:val="32"/>
        </w:rPr>
        <w:t>》《</w:t>
      </w:r>
      <w:r>
        <w:rPr>
          <w:rFonts w:hint="eastAsia" w:ascii="仿宋_GB2312" w:hAnsi="仿宋"/>
          <w:szCs w:val="32"/>
          <w:lang w:eastAsia="zh-CN"/>
        </w:rPr>
        <w:t>中</w:t>
      </w:r>
      <w:r>
        <w:rPr>
          <w:rFonts w:hint="eastAsia" w:ascii="仿宋_GB2312" w:hAnsi="仿宋"/>
          <w:szCs w:val="32"/>
        </w:rPr>
        <w:t>华人民共和国企业国有资产法》等法律和行政法规履行出资人职责,监管市属企业的国有资产,加强国有资产的管理工作。</w:t>
      </w:r>
    </w:p>
    <w:p>
      <w:pPr>
        <w:ind w:firstLine="640" w:firstLineChars="200"/>
        <w:rPr>
          <w:rFonts w:ascii="仿宋_GB2312" w:hAnsi="仿宋"/>
          <w:szCs w:val="32"/>
        </w:rPr>
      </w:pPr>
      <w:r>
        <w:rPr>
          <w:rFonts w:hint="eastAsia" w:ascii="仿宋_GB2312" w:hAnsi="仿宋"/>
          <w:szCs w:val="32"/>
        </w:rPr>
        <w:t>2.研究拟订国有资产管理的办法和制度规定,依法对县区国有资产管理进行指导。</w:t>
      </w:r>
    </w:p>
    <w:p>
      <w:pPr>
        <w:ind w:firstLine="640" w:firstLineChars="200"/>
        <w:rPr>
          <w:rFonts w:ascii="仿宋_GB2312" w:hAnsi="仿宋"/>
          <w:szCs w:val="32"/>
        </w:rPr>
      </w:pPr>
      <w:r>
        <w:rPr>
          <w:rFonts w:hint="eastAsia" w:ascii="仿宋_GB2312" w:hAnsi="仿宋"/>
          <w:szCs w:val="32"/>
        </w:rPr>
        <w:t>3.承担监督所监管企业国有资产保值增值的责任,负责所监管企业工资总额管理工作,参与拟订所监管企业负责人收入分配政策并组织实施。</w:t>
      </w:r>
    </w:p>
    <w:p>
      <w:pPr>
        <w:ind w:firstLine="640" w:firstLineChars="200"/>
        <w:rPr>
          <w:rFonts w:ascii="仿宋_GB2312" w:hAnsi="仿宋"/>
          <w:szCs w:val="32"/>
        </w:rPr>
      </w:pPr>
      <w:r>
        <w:rPr>
          <w:rFonts w:hint="eastAsia" w:ascii="仿宋_GB2312" w:hAnsi="仿宋"/>
          <w:szCs w:val="32"/>
        </w:rPr>
        <w:t>4.指导推进国有企业改革重组和现代企业制度建设 ,完善公司法人治理结构,推动国有经济布局和结构的战略性调整。</w:t>
      </w:r>
    </w:p>
    <w:p>
      <w:pPr>
        <w:ind w:firstLine="640" w:firstLineChars="200"/>
        <w:rPr>
          <w:rFonts w:ascii="仿宋_GB2312" w:hAnsi="仿宋"/>
          <w:szCs w:val="32"/>
        </w:rPr>
      </w:pPr>
      <w:r>
        <w:rPr>
          <w:rFonts w:hint="eastAsia" w:ascii="仿宋_GB2312" w:hAnsi="仿宋"/>
          <w:szCs w:val="32"/>
        </w:rPr>
        <w:t>5.通过法定程序对所监管企业负责人进行任免、考核并根据其经营业绩进行奖惩；建立符合社会主义市场经济体制和现代企业制度要求的选人、用人机制,完善经营者激励和约束制度。</w:t>
      </w:r>
    </w:p>
    <w:p>
      <w:pPr>
        <w:ind w:firstLine="640" w:firstLineChars="200"/>
        <w:rPr>
          <w:rFonts w:ascii="仿宋_GB2312" w:hAnsi="仿宋"/>
          <w:szCs w:val="32"/>
        </w:rPr>
      </w:pPr>
      <w:r>
        <w:rPr>
          <w:rFonts w:hint="eastAsia" w:ascii="仿宋_GB2312" w:hAnsi="仿宋"/>
          <w:szCs w:val="32"/>
        </w:rPr>
        <w:t>6.编制国有资本经营预算和执行方案；监缴所监管企业国有资本收益和市级行政事业单位经营性资产收益。</w:t>
      </w:r>
    </w:p>
    <w:p>
      <w:pPr>
        <w:ind w:firstLine="640" w:firstLineChars="200"/>
        <w:rPr>
          <w:rFonts w:ascii="仿宋_GB2312" w:hAnsi="仿宋"/>
          <w:szCs w:val="32"/>
        </w:rPr>
      </w:pPr>
      <w:r>
        <w:rPr>
          <w:rFonts w:hint="eastAsia" w:ascii="仿宋_GB2312" w:hAnsi="仿宋"/>
          <w:szCs w:val="32"/>
        </w:rPr>
        <w:t>7.负责对国有企业及行政事业单位经营性国有资产实行监督管理,承担产权界定、清产核资、资产评估、资产处置等项各项作,确保资产运行安全、完善,提高使用效能。</w:t>
      </w:r>
    </w:p>
    <w:p>
      <w:pPr>
        <w:ind w:firstLine="640" w:firstLineChars="200"/>
        <w:rPr>
          <w:rFonts w:ascii="仿宋_GB2312" w:hAnsi="仿宋"/>
          <w:szCs w:val="32"/>
        </w:rPr>
      </w:pPr>
      <w:r>
        <w:rPr>
          <w:rFonts w:hint="eastAsia" w:ascii="仿宋_GB2312" w:hAnsi="仿宋"/>
          <w:szCs w:val="32"/>
        </w:rPr>
        <w:t>8.协调中央、省和外地在广国有企业改革发展中与地方相关的事宜。</w:t>
      </w:r>
    </w:p>
    <w:p>
      <w:pPr>
        <w:ind w:firstLine="640" w:firstLineChars="200"/>
        <w:rPr>
          <w:rFonts w:ascii="仿宋_GB2312" w:hAnsi="仿宋"/>
          <w:szCs w:val="32"/>
        </w:rPr>
      </w:pPr>
      <w:r>
        <w:rPr>
          <w:rFonts w:hint="eastAsia" w:ascii="仿宋_GB2312" w:hAnsi="仿宋"/>
          <w:szCs w:val="32"/>
        </w:rPr>
        <w:t>9.完成市委和市政府交办的其他任务。</w:t>
      </w:r>
    </w:p>
    <w:p>
      <w:pPr>
        <w:pStyle w:val="4"/>
        <w:spacing w:line="576" w:lineRule="exact"/>
        <w:ind w:firstLine="640" w:firstLineChars="200"/>
        <w:rPr>
          <w:rStyle w:val="31"/>
          <w:rFonts w:ascii="黑体" w:hAnsi="黑体" w:eastAsia="黑体"/>
          <w:b w:val="0"/>
          <w:bCs w:val="0"/>
        </w:rPr>
      </w:pPr>
      <w:bookmarkStart w:id="22" w:name="_Toc15377200"/>
      <w:bookmarkStart w:id="23" w:name="_Toc147651398"/>
      <w:bookmarkStart w:id="24" w:name="_Toc146616479"/>
      <w:bookmarkStart w:id="25" w:name="_Toc15396601"/>
      <w:r>
        <w:rPr>
          <w:rFonts w:hint="eastAsia" w:ascii="黑体" w:hAnsi="黑体" w:eastAsia="黑体"/>
          <w:b w:val="0"/>
        </w:rPr>
        <w:t>二、机</w:t>
      </w:r>
      <w:r>
        <w:rPr>
          <w:rStyle w:val="31"/>
          <w:rFonts w:hint="eastAsia" w:ascii="黑体" w:hAnsi="黑体" w:eastAsia="黑体"/>
          <w:b w:val="0"/>
          <w:bCs w:val="0"/>
        </w:rPr>
        <w:t>构设置</w:t>
      </w:r>
      <w:bookmarkEnd w:id="22"/>
      <w:bookmarkEnd w:id="23"/>
      <w:bookmarkEnd w:id="24"/>
      <w:bookmarkEnd w:id="25"/>
    </w:p>
    <w:p>
      <w:pPr>
        <w:pStyle w:val="2"/>
        <w:spacing w:beforeLines="0" w:line="576" w:lineRule="exact"/>
        <w:ind w:firstLine="640" w:firstLineChars="200"/>
        <w:rPr>
          <w:color w:val="000000"/>
          <w:sz w:val="32"/>
          <w:szCs w:val="32"/>
        </w:rPr>
      </w:pPr>
      <w:r>
        <w:rPr>
          <w:rFonts w:hint="eastAsia" w:hAnsi="仿宋"/>
          <w:color w:val="000000"/>
          <w:sz w:val="32"/>
          <w:szCs w:val="32"/>
        </w:rPr>
        <w:t>根据《中共广元市委办公室、广元市人民政府办公室关于印发&lt;广元市政府国有资产监督管理委员会职能配置、内设机构和人员编制规定&gt;的通知》(广委办函</w:t>
      </w:r>
      <w:r>
        <w:rPr>
          <w:rFonts w:hint="eastAsia" w:hAnsi="宋体"/>
          <w:color w:val="000000"/>
          <w:sz w:val="32"/>
          <w:szCs w:val="32"/>
        </w:rPr>
        <w:t>〔201</w:t>
      </w:r>
      <w:r>
        <w:rPr>
          <w:rFonts w:hAnsi="宋体"/>
          <w:color w:val="000000"/>
          <w:sz w:val="32"/>
          <w:szCs w:val="32"/>
        </w:rPr>
        <w:t>9</w:t>
      </w:r>
      <w:r>
        <w:rPr>
          <w:rFonts w:hint="eastAsia" w:hAnsi="宋体"/>
          <w:color w:val="000000"/>
          <w:sz w:val="32"/>
          <w:szCs w:val="32"/>
        </w:rPr>
        <w:t>〕</w:t>
      </w:r>
      <w:r>
        <w:rPr>
          <w:rFonts w:hint="eastAsia" w:hAnsi="仿宋"/>
          <w:color w:val="000000"/>
          <w:sz w:val="32"/>
          <w:szCs w:val="32"/>
        </w:rPr>
        <w:t>49号)、《中共广元市委编办关于调整市国资委内设机构的通知》（广编办发</w:t>
      </w:r>
      <w:r>
        <w:rPr>
          <w:rFonts w:hint="eastAsia" w:hAnsi="宋体"/>
          <w:color w:val="000000"/>
          <w:sz w:val="32"/>
          <w:szCs w:val="32"/>
        </w:rPr>
        <w:t>〔2022〕18号</w:t>
      </w:r>
      <w:r>
        <w:rPr>
          <w:rFonts w:hint="eastAsia" w:hAnsi="仿宋"/>
          <w:color w:val="000000"/>
          <w:sz w:val="32"/>
          <w:szCs w:val="32"/>
        </w:rPr>
        <w:t>）</w:t>
      </w:r>
      <w:r>
        <w:rPr>
          <w:rFonts w:hint="eastAsia" w:hAnsi="宋体"/>
          <w:color w:val="000000"/>
          <w:sz w:val="32"/>
          <w:szCs w:val="32"/>
        </w:rPr>
        <w:t>和</w:t>
      </w:r>
      <w:r>
        <w:rPr>
          <w:rFonts w:hint="eastAsia" w:hAnsi="仿宋"/>
          <w:color w:val="000000"/>
          <w:sz w:val="32"/>
          <w:szCs w:val="32"/>
        </w:rPr>
        <w:t>《中共广元市委、广元市人民政府关于印发&lt;广元市机构改革方案&gt;和&lt;广元市机构改革方案的实施意见&gt;的通知》（广委发</w:t>
      </w:r>
      <w:r>
        <w:rPr>
          <w:rFonts w:hint="eastAsia" w:hAnsi="宋体"/>
          <w:color w:val="000000"/>
          <w:sz w:val="32"/>
          <w:szCs w:val="32"/>
        </w:rPr>
        <w:t>〔201</w:t>
      </w:r>
      <w:r>
        <w:rPr>
          <w:rFonts w:hAnsi="宋体"/>
          <w:color w:val="000000"/>
          <w:sz w:val="32"/>
          <w:szCs w:val="32"/>
        </w:rPr>
        <w:t>9</w:t>
      </w:r>
      <w:r>
        <w:rPr>
          <w:rFonts w:hint="eastAsia" w:hAnsi="宋体"/>
          <w:color w:val="000000"/>
          <w:sz w:val="32"/>
          <w:szCs w:val="32"/>
        </w:rPr>
        <w:t>〕</w:t>
      </w:r>
      <w:r>
        <w:rPr>
          <w:rFonts w:hint="eastAsia" w:hAnsi="仿宋"/>
          <w:color w:val="000000"/>
          <w:sz w:val="32"/>
          <w:szCs w:val="32"/>
        </w:rPr>
        <w:t>2号）文件精神，广元市政府国有资产监督管理委员会(简称市国资委)是广元市人民政府工作部门，为正县级。</w:t>
      </w:r>
    </w:p>
    <w:p>
      <w:pPr>
        <w:pStyle w:val="2"/>
        <w:spacing w:beforeLines="0" w:line="576" w:lineRule="exact"/>
        <w:ind w:firstLine="600" w:firstLineChars="200"/>
        <w:rPr>
          <w:rFonts w:hAnsi="仿宋_GB2312" w:cs="仿宋_GB2312"/>
        </w:rPr>
      </w:pPr>
      <w:r>
        <w:rPr>
          <w:rFonts w:hint="eastAsia" w:hAnsi="仿宋_GB2312" w:cs="仿宋_GB2312"/>
        </w:rPr>
        <w:t>我委内设机构9个，分别为办公室、产权与收益管理科、投资规划科、财务监督与考核分配科、企业改革科、监督工作科、社会责任科、党建工作科、干部人事科。</w:t>
      </w:r>
    </w:p>
    <w:p>
      <w:pPr>
        <w:widowControl/>
        <w:jc w:val="left"/>
        <w:rPr>
          <w:rFonts w:ascii="仿宋_GB2312" w:hAnsi="仿宋"/>
          <w:szCs w:val="32"/>
        </w:rPr>
      </w:pPr>
    </w:p>
    <w:p>
      <w:pPr>
        <w:pStyle w:val="2"/>
        <w:spacing w:before="93"/>
      </w:pPr>
    </w:p>
    <w:p>
      <w:pPr>
        <w:pStyle w:val="2"/>
        <w:spacing w:before="93"/>
      </w:pPr>
    </w:p>
    <w:p>
      <w:pPr>
        <w:pStyle w:val="2"/>
        <w:spacing w:before="93"/>
      </w:pPr>
    </w:p>
    <w:p>
      <w:pPr>
        <w:pStyle w:val="3"/>
        <w:ind w:right="440"/>
        <w:jc w:val="center"/>
        <w:rPr>
          <w:rStyle w:val="30"/>
          <w:rFonts w:ascii="黑体" w:hAnsi="黑体" w:eastAsia="黑体"/>
          <w:b w:val="0"/>
          <w:bCs/>
        </w:rPr>
      </w:pPr>
      <w:bookmarkStart w:id="26" w:name="_Toc15377204"/>
      <w:bookmarkStart w:id="27" w:name="_Toc15396602"/>
      <w:bookmarkStart w:id="28" w:name="_Toc147651400"/>
      <w:r>
        <w:rPr>
          <w:rFonts w:hint="eastAsia" w:ascii="黑体" w:hAnsi="黑体" w:eastAsia="黑体"/>
          <w:b w:val="0"/>
        </w:rPr>
        <w:t>第二部分 2022年度</w:t>
      </w:r>
      <w:r>
        <w:rPr>
          <w:rStyle w:val="30"/>
          <w:rFonts w:hint="eastAsia" w:ascii="黑体" w:hAnsi="黑体" w:eastAsia="黑体"/>
          <w:b w:val="0"/>
          <w:bCs/>
        </w:rPr>
        <w:t>单位决算情况说明</w:t>
      </w:r>
      <w:bookmarkEnd w:id="26"/>
      <w:bookmarkEnd w:id="27"/>
      <w:bookmarkEnd w:id="28"/>
    </w:p>
    <w:p/>
    <w:p>
      <w:pPr>
        <w:pStyle w:val="29"/>
        <w:numPr>
          <w:ilvl w:val="0"/>
          <w:numId w:val="1"/>
        </w:numPr>
        <w:spacing w:line="600" w:lineRule="exact"/>
        <w:ind w:firstLineChars="0"/>
        <w:outlineLvl w:val="1"/>
        <w:rPr>
          <w:rStyle w:val="31"/>
          <w:rFonts w:ascii="黑体" w:hAnsi="黑体" w:eastAsia="黑体"/>
          <w:b w:val="0"/>
        </w:rPr>
      </w:pPr>
      <w:bookmarkStart w:id="29" w:name="_Toc15377205"/>
      <w:bookmarkStart w:id="30" w:name="_Toc147651401"/>
      <w:bookmarkStart w:id="31" w:name="_Toc15396603"/>
      <w:r>
        <w:rPr>
          <w:rFonts w:hint="eastAsia" w:ascii="黑体" w:hAnsi="黑体" w:eastAsia="黑体"/>
          <w:szCs w:val="32"/>
        </w:rPr>
        <w:t>收</w:t>
      </w:r>
      <w:r>
        <w:rPr>
          <w:rStyle w:val="31"/>
          <w:rFonts w:hint="eastAsia" w:ascii="黑体" w:hAnsi="黑体" w:eastAsia="黑体"/>
          <w:b w:val="0"/>
        </w:rPr>
        <w:t>入支出决算总体情况说明</w:t>
      </w:r>
      <w:bookmarkEnd w:id="29"/>
      <w:bookmarkEnd w:id="30"/>
      <w:bookmarkEnd w:id="31"/>
    </w:p>
    <w:p>
      <w:pPr>
        <w:spacing w:line="600" w:lineRule="exact"/>
        <w:ind w:firstLine="640" w:firstLineChars="200"/>
        <w:rPr>
          <w:rFonts w:ascii="仿宋_GB2312" w:hAnsi="仿宋"/>
          <w:szCs w:val="32"/>
        </w:rPr>
      </w:pPr>
      <w:r>
        <w:rPr>
          <w:rFonts w:hint="eastAsia" w:ascii="仿宋_GB2312" w:hAnsi="仿宋"/>
          <w:szCs w:val="32"/>
        </w:rPr>
        <w:t>2022年度收、支总计37754.50万元。与2021年相比，收、支总计各减少16001.54万元，下降29.77%。主要变动原因是企业转拨款项目经费收支减少。</w:t>
      </w:r>
    </w:p>
    <w:p>
      <w:pPr>
        <w:pStyle w:val="2"/>
        <w:spacing w:before="93"/>
      </w:pPr>
      <w:r>
        <w:rPr>
          <w:rFonts w:hint="eastAsia"/>
        </w:rPr>
        <w:drawing>
          <wp:inline distT="0" distB="0" distL="0" distR="0">
            <wp:extent cx="5318125" cy="2505075"/>
            <wp:effectExtent l="0" t="0" r="15875"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jc w:val="center"/>
        <w:rPr>
          <w:rFonts w:ascii="仿宋_GB2312"/>
          <w:szCs w:val="32"/>
        </w:rPr>
      </w:pPr>
      <w:r>
        <w:rPr>
          <w:rFonts w:hint="eastAsia" w:ascii="仿宋_GB2312" w:hAnsi="仿宋"/>
          <w:szCs w:val="32"/>
        </w:rPr>
        <w:t>（图1：收、支决算总计变动情况图）</w:t>
      </w:r>
    </w:p>
    <w:p>
      <w:pPr>
        <w:pStyle w:val="29"/>
        <w:numPr>
          <w:ilvl w:val="0"/>
          <w:numId w:val="1"/>
        </w:numPr>
        <w:spacing w:line="600" w:lineRule="exact"/>
        <w:ind w:firstLineChars="0"/>
        <w:outlineLvl w:val="1"/>
        <w:rPr>
          <w:rStyle w:val="31"/>
          <w:rFonts w:ascii="黑体" w:hAnsi="黑体" w:eastAsia="黑体"/>
          <w:b w:val="0"/>
        </w:rPr>
      </w:pPr>
      <w:bookmarkStart w:id="32" w:name="_Toc147651402"/>
      <w:bookmarkStart w:id="33" w:name="_Toc15396604"/>
      <w:bookmarkStart w:id="34" w:name="_Toc15377206"/>
      <w:r>
        <w:rPr>
          <w:rFonts w:hint="eastAsia" w:ascii="黑体" w:hAnsi="黑体" w:eastAsia="黑体"/>
          <w:szCs w:val="32"/>
        </w:rPr>
        <w:t>收</w:t>
      </w:r>
      <w:r>
        <w:rPr>
          <w:rStyle w:val="31"/>
          <w:rFonts w:hint="eastAsia" w:ascii="黑体" w:hAnsi="黑体" w:eastAsia="黑体"/>
          <w:b w:val="0"/>
        </w:rPr>
        <w:t>入决算情况说明</w:t>
      </w:r>
      <w:bookmarkEnd w:id="32"/>
      <w:bookmarkEnd w:id="33"/>
      <w:bookmarkEnd w:id="34"/>
    </w:p>
    <w:p>
      <w:pPr>
        <w:spacing w:line="600" w:lineRule="exact"/>
        <w:ind w:firstLine="640" w:firstLineChars="200"/>
        <w:outlineLvl w:val="1"/>
        <w:rPr>
          <w:rFonts w:ascii="仿宋_GB2312" w:hAnsi="仿宋"/>
          <w:szCs w:val="32"/>
        </w:rPr>
      </w:pPr>
      <w:bookmarkStart w:id="35" w:name="_Toc147583849"/>
      <w:bookmarkStart w:id="36" w:name="_Toc147651403"/>
      <w:r>
        <w:rPr>
          <w:rFonts w:hint="eastAsia" w:ascii="仿宋_GB2312" w:hAnsi="仿宋"/>
          <w:szCs w:val="32"/>
        </w:rPr>
        <w:t>2022年本年收入合计36949.30万元，其中：一般公共预算财政拨款收入3304.99万元，占8.94%；政府性基金预算财政拨款收入33644.29万元，占91.05%；其他收入0.02万元，占0.01%。</w:t>
      </w:r>
      <w:bookmarkEnd w:id="35"/>
      <w:bookmarkEnd w:id="36"/>
    </w:p>
    <w:p>
      <w:pPr>
        <w:spacing w:line="600" w:lineRule="exact"/>
        <w:ind w:firstLine="640" w:firstLineChars="200"/>
        <w:outlineLvl w:val="1"/>
        <w:rPr>
          <w:rFonts w:ascii="仿宋" w:hAnsi="仿宋" w:eastAsia="仿宋"/>
          <w:szCs w:val="32"/>
        </w:rPr>
      </w:pPr>
    </w:p>
    <w:p>
      <w:pPr>
        <w:pStyle w:val="2"/>
        <w:spacing w:before="93"/>
      </w:pPr>
      <w:r>
        <w:drawing>
          <wp:inline distT="0" distB="0" distL="0" distR="0">
            <wp:extent cx="5274310" cy="3076575"/>
            <wp:effectExtent l="0" t="0" r="254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2"/>
        <w:spacing w:before="93"/>
        <w:jc w:val="center"/>
      </w:pPr>
      <w:r>
        <w:rPr>
          <w:rFonts w:hint="eastAsia" w:hAnsi="仿宋"/>
          <w:sz w:val="32"/>
          <w:szCs w:val="32"/>
        </w:rPr>
        <w:t>（图2：收入决算结构图）</w:t>
      </w:r>
    </w:p>
    <w:p>
      <w:pPr>
        <w:pStyle w:val="29"/>
        <w:numPr>
          <w:ilvl w:val="0"/>
          <w:numId w:val="1"/>
        </w:numPr>
        <w:spacing w:line="600" w:lineRule="exact"/>
        <w:ind w:firstLineChars="0"/>
        <w:outlineLvl w:val="1"/>
        <w:rPr>
          <w:rStyle w:val="31"/>
          <w:rFonts w:ascii="黑体" w:hAnsi="黑体" w:eastAsia="黑体"/>
          <w:b w:val="0"/>
        </w:rPr>
      </w:pPr>
      <w:bookmarkStart w:id="37" w:name="_Toc15377207"/>
      <w:bookmarkStart w:id="38" w:name="_Toc147651404"/>
      <w:bookmarkStart w:id="39" w:name="_Toc15396605"/>
      <w:r>
        <w:rPr>
          <w:rFonts w:hint="eastAsia" w:ascii="黑体" w:hAnsi="黑体" w:eastAsia="黑体"/>
          <w:szCs w:val="32"/>
        </w:rPr>
        <w:t>支</w:t>
      </w:r>
      <w:r>
        <w:rPr>
          <w:rStyle w:val="31"/>
          <w:rFonts w:hint="eastAsia" w:ascii="黑体" w:hAnsi="黑体" w:eastAsia="黑体"/>
          <w:b w:val="0"/>
        </w:rPr>
        <w:t>出决算情况说明</w:t>
      </w:r>
      <w:bookmarkEnd w:id="37"/>
      <w:bookmarkEnd w:id="38"/>
      <w:bookmarkEnd w:id="39"/>
    </w:p>
    <w:p>
      <w:pPr>
        <w:spacing w:line="600" w:lineRule="exact"/>
        <w:ind w:firstLine="640" w:firstLineChars="200"/>
        <w:outlineLvl w:val="1"/>
        <w:rPr>
          <w:rFonts w:ascii="仿宋" w:hAnsi="仿宋" w:eastAsia="仿宋"/>
          <w:szCs w:val="32"/>
        </w:rPr>
      </w:pPr>
      <w:bookmarkStart w:id="40" w:name="_Toc147651405"/>
      <w:bookmarkStart w:id="41" w:name="_Toc147583851"/>
      <w:r>
        <w:drawing>
          <wp:anchor distT="0" distB="0" distL="114300" distR="114300" simplePos="0" relativeHeight="251661312" behindDoc="0" locked="0" layoutInCell="1" allowOverlap="1">
            <wp:simplePos x="0" y="0"/>
            <wp:positionH relativeFrom="margin">
              <wp:align>left</wp:align>
            </wp:positionH>
            <wp:positionV relativeFrom="paragraph">
              <wp:posOffset>826770</wp:posOffset>
            </wp:positionV>
            <wp:extent cx="5274310" cy="3076575"/>
            <wp:effectExtent l="0" t="0" r="2540" b="9525"/>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szCs w:val="32"/>
        </w:rPr>
        <w:t>20</w:t>
      </w:r>
      <w:r>
        <w:rPr>
          <w:rFonts w:hint="eastAsia" w:ascii="仿宋" w:hAnsi="仿宋" w:eastAsia="仿宋"/>
          <w:szCs w:val="32"/>
        </w:rPr>
        <w:t>22年本年支出合计3</w:t>
      </w:r>
      <w:r>
        <w:rPr>
          <w:rFonts w:ascii="仿宋" w:hAnsi="仿宋" w:eastAsia="仿宋"/>
          <w:szCs w:val="32"/>
        </w:rPr>
        <w:t>7730.93</w:t>
      </w:r>
      <w:r>
        <w:rPr>
          <w:rFonts w:hint="eastAsia" w:ascii="仿宋" w:hAnsi="仿宋" w:eastAsia="仿宋"/>
          <w:szCs w:val="32"/>
        </w:rPr>
        <w:t>万元，其中：基本支出</w:t>
      </w:r>
      <w:r>
        <w:rPr>
          <w:rFonts w:ascii="仿宋" w:hAnsi="仿宋" w:eastAsia="仿宋"/>
          <w:szCs w:val="32"/>
        </w:rPr>
        <w:t>683.29</w:t>
      </w:r>
      <w:r>
        <w:rPr>
          <w:rFonts w:hint="eastAsia" w:ascii="仿宋" w:hAnsi="仿宋" w:eastAsia="仿宋"/>
          <w:szCs w:val="32"/>
        </w:rPr>
        <w:t>万元，占</w:t>
      </w:r>
      <w:r>
        <w:rPr>
          <w:rFonts w:ascii="仿宋" w:hAnsi="仿宋" w:eastAsia="仿宋"/>
          <w:szCs w:val="32"/>
        </w:rPr>
        <w:t>1.81%</w:t>
      </w:r>
      <w:r>
        <w:rPr>
          <w:rFonts w:hint="eastAsia" w:ascii="仿宋" w:hAnsi="仿宋" w:eastAsia="仿宋"/>
          <w:szCs w:val="32"/>
        </w:rPr>
        <w:t>；项目支出</w:t>
      </w:r>
      <w:r>
        <w:rPr>
          <w:rFonts w:ascii="仿宋" w:hAnsi="仿宋" w:eastAsia="仿宋"/>
          <w:szCs w:val="32"/>
        </w:rPr>
        <w:t>37047.64</w:t>
      </w:r>
      <w:r>
        <w:rPr>
          <w:rFonts w:hint="eastAsia" w:ascii="仿宋" w:hAnsi="仿宋" w:eastAsia="仿宋"/>
          <w:szCs w:val="32"/>
        </w:rPr>
        <w:t>万元，占</w:t>
      </w:r>
      <w:r>
        <w:rPr>
          <w:rFonts w:ascii="仿宋" w:hAnsi="仿宋" w:eastAsia="仿宋"/>
          <w:szCs w:val="32"/>
        </w:rPr>
        <w:t>98.19%</w:t>
      </w:r>
      <w:r>
        <w:rPr>
          <w:rFonts w:hint="eastAsia" w:ascii="仿宋" w:hAnsi="仿宋" w:eastAsia="仿宋"/>
          <w:szCs w:val="32"/>
        </w:rPr>
        <w:t>。</w:t>
      </w:r>
      <w:bookmarkEnd w:id="40"/>
      <w:bookmarkEnd w:id="41"/>
    </w:p>
    <w:p>
      <w:pPr>
        <w:spacing w:line="600" w:lineRule="exact"/>
        <w:ind w:firstLine="640" w:firstLineChars="200"/>
        <w:jc w:val="center"/>
        <w:rPr>
          <w:rFonts w:ascii="仿宋_GB2312" w:hAnsi="仿宋"/>
          <w:szCs w:val="32"/>
        </w:rPr>
      </w:pPr>
      <w:r>
        <w:rPr>
          <w:rFonts w:hint="eastAsia" w:ascii="仿宋_GB2312" w:hAnsi="仿宋"/>
          <w:szCs w:val="32"/>
        </w:rPr>
        <w:t>（图3：支出决算结构图）</w:t>
      </w:r>
    </w:p>
    <w:p>
      <w:pPr>
        <w:pStyle w:val="2"/>
        <w:spacing w:before="93"/>
        <w:rPr>
          <w:rFonts w:hint="eastAsia"/>
        </w:rPr>
      </w:pPr>
    </w:p>
    <w:p>
      <w:pPr>
        <w:spacing w:line="600" w:lineRule="exact"/>
        <w:ind w:firstLine="640" w:firstLineChars="200"/>
        <w:outlineLvl w:val="1"/>
        <w:rPr>
          <w:rStyle w:val="31"/>
          <w:rFonts w:ascii="黑体" w:hAnsi="黑体" w:eastAsia="黑体"/>
          <w:b w:val="0"/>
        </w:rPr>
      </w:pPr>
      <w:bookmarkStart w:id="42" w:name="_Toc15396606"/>
      <w:bookmarkStart w:id="43" w:name="_Toc147651406"/>
      <w:bookmarkStart w:id="44" w:name="_Toc15377208"/>
      <w:r>
        <w:rPr>
          <w:rFonts w:hint="eastAsia" w:ascii="黑体" w:hAnsi="黑体" w:eastAsia="黑体"/>
          <w:szCs w:val="32"/>
        </w:rPr>
        <w:t>四、财</w:t>
      </w:r>
      <w:r>
        <w:rPr>
          <w:rStyle w:val="31"/>
          <w:rFonts w:hint="eastAsia" w:ascii="黑体" w:hAnsi="黑体" w:eastAsia="黑体"/>
          <w:b w:val="0"/>
        </w:rPr>
        <w:t>政拨款收入支出决算总体情况说明</w:t>
      </w:r>
      <w:bookmarkEnd w:id="42"/>
      <w:bookmarkEnd w:id="43"/>
      <w:bookmarkEnd w:id="44"/>
    </w:p>
    <w:p>
      <w:pPr>
        <w:spacing w:line="600" w:lineRule="exact"/>
        <w:ind w:firstLine="640"/>
        <w:rPr>
          <w:rFonts w:ascii="仿宋_GB2312" w:hAnsi="仿宋"/>
          <w:szCs w:val="32"/>
        </w:rPr>
      </w:pPr>
      <w:r>
        <w:rPr>
          <w:rFonts w:hint="eastAsia" w:ascii="仿宋_GB2312" w:hAnsi="仿宋"/>
          <w:szCs w:val="32"/>
        </w:rPr>
        <w:t>2022年财政拨款收、支总计37754.47万元。与2021年相比，财政拨款收、支总计各减少16001.53万元，下降29.77%。主要变动原因是企业转拨款项目收支减少。</w:t>
      </w:r>
    </w:p>
    <w:p>
      <w:pPr>
        <w:pStyle w:val="2"/>
        <w:spacing w:before="93"/>
      </w:pPr>
      <w:r>
        <w:rPr>
          <w:rFonts w:hint="eastAsia"/>
        </w:rPr>
        <w:drawing>
          <wp:inline distT="0" distB="0" distL="0" distR="0">
            <wp:extent cx="5274310" cy="3076575"/>
            <wp:effectExtent l="0" t="0" r="2540" b="952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_GB2312" w:hAnsi="仿宋"/>
          <w:szCs w:val="32"/>
        </w:rPr>
      </w:pPr>
      <w:r>
        <w:rPr>
          <w:rFonts w:hint="eastAsia" w:ascii="仿宋_GB2312" w:hAnsi="仿宋"/>
          <w:szCs w:val="32"/>
        </w:rPr>
        <w:t>（图4：财政拨款收、支决算总计变动情况）</w:t>
      </w:r>
    </w:p>
    <w:p>
      <w:pPr>
        <w:spacing w:line="600" w:lineRule="exact"/>
        <w:ind w:firstLine="640" w:firstLineChars="200"/>
        <w:outlineLvl w:val="1"/>
        <w:rPr>
          <w:rStyle w:val="31"/>
          <w:rFonts w:ascii="黑体" w:hAnsi="黑体" w:eastAsia="黑体"/>
          <w:b w:val="0"/>
        </w:rPr>
      </w:pPr>
      <w:bookmarkStart w:id="45" w:name="_Toc15396607"/>
      <w:bookmarkStart w:id="46" w:name="_Toc15377209"/>
      <w:bookmarkStart w:id="47" w:name="_Toc147651407"/>
      <w:r>
        <w:rPr>
          <w:rFonts w:hint="eastAsia" w:ascii="黑体" w:hAnsi="黑体" w:eastAsia="黑体"/>
          <w:szCs w:val="32"/>
        </w:rPr>
        <w:t>五、</w:t>
      </w:r>
      <w:r>
        <w:rPr>
          <w:rFonts w:hint="eastAsia" w:ascii="黑体" w:hAnsi="黑体" w:eastAsia="黑体"/>
          <w:b/>
          <w:szCs w:val="32"/>
        </w:rPr>
        <w:t>一</w:t>
      </w:r>
      <w:r>
        <w:rPr>
          <w:rStyle w:val="31"/>
          <w:rFonts w:hint="eastAsia" w:ascii="黑体" w:hAnsi="黑体" w:eastAsia="黑体"/>
          <w:b w:val="0"/>
        </w:rPr>
        <w:t>般公共预算财政拨款支出决算情况说明</w:t>
      </w:r>
      <w:bookmarkEnd w:id="45"/>
      <w:bookmarkEnd w:id="46"/>
      <w:bookmarkEnd w:id="47"/>
    </w:p>
    <w:p>
      <w:pPr>
        <w:spacing w:line="600" w:lineRule="exact"/>
        <w:ind w:firstLine="642" w:firstLineChars="200"/>
        <w:outlineLvl w:val="2"/>
        <w:rPr>
          <w:rFonts w:ascii="仿宋" w:hAnsi="仿宋" w:eastAsia="仿宋"/>
          <w:b/>
          <w:szCs w:val="32"/>
        </w:rPr>
      </w:pPr>
      <w:bookmarkStart w:id="48" w:name="_Toc15377210"/>
      <w:bookmarkStart w:id="49" w:name="_Toc147651408"/>
      <w:r>
        <w:rPr>
          <w:rFonts w:hint="eastAsia" w:ascii="仿宋" w:hAnsi="仿宋" w:eastAsia="仿宋"/>
          <w:b/>
          <w:szCs w:val="32"/>
        </w:rPr>
        <w:t>（一）一般公共预算财政拨款支出决算总体情况</w:t>
      </w:r>
      <w:bookmarkEnd w:id="48"/>
      <w:bookmarkEnd w:id="49"/>
    </w:p>
    <w:p>
      <w:pPr>
        <w:spacing w:line="600" w:lineRule="exact"/>
        <w:ind w:firstLine="640" w:firstLineChars="200"/>
        <w:rPr>
          <w:rFonts w:ascii="仿宋_GB2312" w:hAnsi="仿宋"/>
          <w:szCs w:val="32"/>
        </w:rPr>
      </w:pPr>
      <w:r>
        <w:rPr>
          <w:rFonts w:hint="eastAsia" w:ascii="仿宋_GB2312" w:hAnsi="仿宋"/>
          <w:szCs w:val="32"/>
        </w:rPr>
        <w:t>2022年一般公共预算财政拨款支出3291.88万元，占本年支出合计的8.72%。与2021年相比，一般公共预算财政拨款支出增加1887.27万元，增长134.36%。主要变动原因是项目支出增加。</w:t>
      </w:r>
    </w:p>
    <w:p>
      <w:pPr>
        <w:pStyle w:val="2"/>
        <w:spacing w:before="93"/>
        <w:jc w:val="center"/>
      </w:pPr>
      <w:r>
        <w:rPr>
          <w:rFonts w:hint="eastAsia"/>
        </w:rPr>
        <w:drawing>
          <wp:anchor distT="0" distB="0" distL="114300" distR="114300" simplePos="0" relativeHeight="251662336" behindDoc="0" locked="0" layoutInCell="1" allowOverlap="1">
            <wp:simplePos x="0" y="0"/>
            <wp:positionH relativeFrom="column">
              <wp:posOffset>3175</wp:posOffset>
            </wp:positionH>
            <wp:positionV relativeFrom="paragraph">
              <wp:posOffset>40640</wp:posOffset>
            </wp:positionV>
            <wp:extent cx="5274310" cy="3076575"/>
            <wp:effectExtent l="0" t="0" r="2540" b="9525"/>
            <wp:wrapTopAndBottom/>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hAnsi="仿宋"/>
          <w:sz w:val="32"/>
          <w:szCs w:val="32"/>
        </w:rPr>
        <w:t>（图5：一般公共预算财政拨款支出决算变动情况）</w:t>
      </w:r>
    </w:p>
    <w:p>
      <w:pPr>
        <w:spacing w:line="600" w:lineRule="exact"/>
        <w:ind w:firstLine="642" w:firstLineChars="200"/>
        <w:outlineLvl w:val="2"/>
        <w:rPr>
          <w:rFonts w:ascii="仿宋" w:hAnsi="仿宋" w:eastAsia="仿宋"/>
          <w:b/>
          <w:szCs w:val="32"/>
        </w:rPr>
      </w:pPr>
      <w:bookmarkStart w:id="50" w:name="_Toc15377211"/>
      <w:bookmarkStart w:id="51" w:name="_Toc147651409"/>
      <w:r>
        <w:rPr>
          <w:rFonts w:hint="eastAsia" w:ascii="仿宋" w:hAnsi="仿宋" w:eastAsia="仿宋"/>
          <w:b/>
          <w:szCs w:val="32"/>
        </w:rPr>
        <w:t>（二）一般公共预算财政拨款支出决算结构情况</w:t>
      </w:r>
      <w:bookmarkEnd w:id="50"/>
      <w:bookmarkEnd w:id="51"/>
    </w:p>
    <w:p>
      <w:pPr>
        <w:spacing w:line="600" w:lineRule="exact"/>
        <w:ind w:firstLine="640"/>
        <w:rPr>
          <w:rFonts w:ascii="仿宋_GB2312" w:hAnsi="仿宋"/>
          <w:szCs w:val="32"/>
        </w:rPr>
      </w:pPr>
      <w:r>
        <w:rPr>
          <w:rFonts w:hint="eastAsia" w:ascii="仿宋_GB2312" w:hAnsi="仿宋"/>
          <w:szCs w:val="32"/>
        </w:rPr>
        <w:t>2022年一般公共预算财政拨款支出3291.88万元，主要用于以下方面:文化旅游体育与传媒支出2000万元，占60.75%；社会保障和就业支出60.44万元，占1.84%；卫生健康支出20.62万元，占0.63%；城乡社区支出500万元，占15.19%；资源勘探工业信息等支出661.39万元，占20.09%；住房保障支出49.42万元，占1.50%。</w:t>
      </w:r>
    </w:p>
    <w:p>
      <w:pPr>
        <w:pStyle w:val="2"/>
        <w:spacing w:before="93"/>
      </w:pPr>
      <w:r>
        <w:drawing>
          <wp:anchor distT="0" distB="0" distL="0" distR="0" simplePos="0" relativeHeight="251664384" behindDoc="1" locked="0" layoutInCell="1" allowOverlap="1">
            <wp:simplePos x="0" y="0"/>
            <wp:positionH relativeFrom="column">
              <wp:posOffset>134620</wp:posOffset>
            </wp:positionH>
            <wp:positionV relativeFrom="paragraph">
              <wp:posOffset>334645</wp:posOffset>
            </wp:positionV>
            <wp:extent cx="5336540" cy="2336165"/>
            <wp:effectExtent l="4445" t="4445" r="12065" b="31115"/>
            <wp:wrapTight wrapText="bothSides">
              <wp:wrapPolygon>
                <wp:start x="-18" y="-41"/>
                <wp:lineTo x="-18" y="21535"/>
                <wp:lineTo x="21572" y="21535"/>
                <wp:lineTo x="21572" y="-41"/>
                <wp:lineTo x="-18" y="-41"/>
              </wp:wrapPolygon>
            </wp:wrapTight>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jc w:val="center"/>
        <w:rPr>
          <w:rFonts w:ascii="仿宋" w:hAnsi="仿宋" w:eastAsia="仿宋"/>
          <w:b/>
          <w:szCs w:val="32"/>
        </w:rPr>
      </w:pPr>
      <w:r>
        <w:rPr>
          <w:rFonts w:hint="eastAsia" w:ascii="仿宋" w:hAnsi="仿宋" w:eastAsia="仿宋"/>
          <w:szCs w:val="32"/>
        </w:rPr>
        <w:t>（图6：一般公共预算财政拨款支出决算结构）</w:t>
      </w:r>
    </w:p>
    <w:p>
      <w:pPr>
        <w:spacing w:line="600" w:lineRule="exact"/>
        <w:ind w:firstLine="642" w:firstLineChars="200"/>
        <w:outlineLvl w:val="2"/>
        <w:rPr>
          <w:rFonts w:ascii="仿宋" w:hAnsi="仿宋" w:eastAsia="仿宋"/>
          <w:b/>
          <w:szCs w:val="32"/>
        </w:rPr>
      </w:pPr>
      <w:bookmarkStart w:id="52" w:name="_Toc15377212"/>
      <w:bookmarkStart w:id="53" w:name="_Toc147651410"/>
      <w:r>
        <w:rPr>
          <w:rFonts w:hint="eastAsia" w:ascii="仿宋" w:hAnsi="仿宋" w:eastAsia="仿宋"/>
          <w:b/>
          <w:szCs w:val="32"/>
        </w:rPr>
        <w:t>（三）一般公共预算财政拨款支出决算具体情况</w:t>
      </w:r>
      <w:bookmarkEnd w:id="52"/>
      <w:bookmarkEnd w:id="53"/>
    </w:p>
    <w:p>
      <w:pPr>
        <w:spacing w:line="600" w:lineRule="exact"/>
        <w:ind w:firstLine="640" w:firstLineChars="200"/>
        <w:outlineLvl w:val="2"/>
        <w:rPr>
          <w:rFonts w:ascii="仿宋" w:hAnsi="仿宋" w:eastAsia="仿宋"/>
          <w:b/>
          <w:szCs w:val="32"/>
        </w:rPr>
      </w:pPr>
      <w:bookmarkStart w:id="54" w:name="_Toc15377213"/>
      <w:bookmarkStart w:id="55" w:name="_Toc147651411"/>
      <w:bookmarkStart w:id="56" w:name="_Toc147583857"/>
      <w:bookmarkStart w:id="57" w:name="_Toc15378460"/>
      <w:bookmarkStart w:id="58" w:name="_Toc15377444"/>
      <w:r>
        <w:rPr>
          <w:rFonts w:hint="eastAsia" w:ascii="仿宋" w:hAnsi="仿宋" w:eastAsia="仿宋"/>
          <w:bCs/>
          <w:szCs w:val="32"/>
        </w:rPr>
        <w:t>2022年一般公共预算支出决算数为</w:t>
      </w:r>
      <w:r>
        <w:rPr>
          <w:rFonts w:ascii="仿宋" w:hAnsi="仿宋" w:eastAsia="仿宋"/>
          <w:bCs/>
          <w:szCs w:val="32"/>
        </w:rPr>
        <w:t>3291.88</w:t>
      </w:r>
      <w:r>
        <w:rPr>
          <w:rFonts w:hint="eastAsia" w:ascii="仿宋" w:hAnsi="仿宋" w:eastAsia="仿宋"/>
          <w:bCs/>
          <w:szCs w:val="32"/>
        </w:rPr>
        <w:t>万元，</w:t>
      </w:r>
      <w:r>
        <w:rPr>
          <w:rStyle w:val="18"/>
          <w:rFonts w:hint="eastAsia" w:ascii="仿宋" w:hAnsi="仿宋" w:eastAsia="仿宋"/>
          <w:b w:val="0"/>
          <w:szCs w:val="32"/>
        </w:rPr>
        <w:t>完成预算</w:t>
      </w:r>
      <w:r>
        <w:rPr>
          <w:rStyle w:val="18"/>
          <w:rFonts w:ascii="仿宋" w:hAnsi="仿宋" w:eastAsia="仿宋"/>
          <w:b w:val="0"/>
          <w:szCs w:val="32"/>
        </w:rPr>
        <w:t>99.28%</w:t>
      </w:r>
      <w:r>
        <w:rPr>
          <w:rStyle w:val="18"/>
          <w:rFonts w:hint="eastAsia" w:ascii="仿宋" w:hAnsi="仿宋" w:eastAsia="仿宋"/>
          <w:b w:val="0"/>
          <w:szCs w:val="32"/>
        </w:rPr>
        <w:t>。其中：</w:t>
      </w:r>
      <w:bookmarkEnd w:id="54"/>
      <w:bookmarkEnd w:id="55"/>
      <w:bookmarkEnd w:id="56"/>
      <w:bookmarkEnd w:id="57"/>
      <w:bookmarkEnd w:id="58"/>
    </w:p>
    <w:p>
      <w:pPr>
        <w:spacing w:line="600" w:lineRule="exact"/>
        <w:ind w:firstLine="642" w:firstLineChars="200"/>
        <w:rPr>
          <w:rFonts w:ascii="仿宋" w:hAnsi="仿宋" w:eastAsia="仿宋"/>
          <w:b/>
          <w:szCs w:val="32"/>
        </w:rPr>
      </w:pPr>
      <w:r>
        <w:rPr>
          <w:rStyle w:val="18"/>
          <w:rFonts w:ascii="仿宋" w:hAnsi="仿宋" w:eastAsia="仿宋"/>
          <w:bCs/>
          <w:szCs w:val="32"/>
        </w:rPr>
        <w:t>1.</w:t>
      </w:r>
      <w:r>
        <w:rPr>
          <w:rStyle w:val="18"/>
          <w:rFonts w:hint="eastAsia" w:ascii="仿宋" w:hAnsi="仿宋" w:eastAsia="仿宋"/>
          <w:bCs/>
          <w:szCs w:val="32"/>
        </w:rPr>
        <w:t>文化旅游体育与传媒（类）文化和旅游（款）其他文化和旅游支出（项）</w:t>
      </w:r>
      <w:r>
        <w:rPr>
          <w:rStyle w:val="18"/>
          <w:rFonts w:ascii="仿宋" w:hAnsi="仿宋" w:eastAsia="仿宋"/>
          <w:bCs/>
          <w:szCs w:val="32"/>
        </w:rPr>
        <w:t>:</w:t>
      </w:r>
      <w:r>
        <w:rPr>
          <w:rStyle w:val="18"/>
          <w:rFonts w:ascii="仿宋" w:hAnsi="仿宋" w:eastAsia="仿宋"/>
          <w:b w:val="0"/>
          <w:bCs/>
          <w:szCs w:val="32"/>
        </w:rPr>
        <w:t xml:space="preserve"> </w:t>
      </w:r>
      <w:r>
        <w:rPr>
          <w:rStyle w:val="18"/>
          <w:rFonts w:hint="eastAsia" w:ascii="仿宋" w:hAnsi="仿宋" w:eastAsia="仿宋"/>
          <w:b w:val="0"/>
          <w:bCs/>
          <w:szCs w:val="32"/>
        </w:rPr>
        <w:t>支出决算为</w:t>
      </w:r>
      <w:r>
        <w:rPr>
          <w:rStyle w:val="18"/>
          <w:rFonts w:ascii="仿宋" w:hAnsi="仿宋" w:eastAsia="仿宋"/>
          <w:b w:val="0"/>
          <w:bCs/>
          <w:szCs w:val="32"/>
        </w:rPr>
        <w:t>2000</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r>
        <w:rPr>
          <w:rFonts w:ascii="仿宋" w:hAnsi="仿宋" w:eastAsia="仿宋"/>
          <w:b/>
          <w:szCs w:val="32"/>
        </w:rPr>
        <w:t xml:space="preserve"> </w:t>
      </w:r>
    </w:p>
    <w:p>
      <w:pPr>
        <w:spacing w:line="600" w:lineRule="exact"/>
        <w:ind w:firstLine="642" w:firstLineChars="200"/>
        <w:rPr>
          <w:rStyle w:val="18"/>
          <w:rFonts w:ascii="仿宋" w:hAnsi="仿宋" w:eastAsia="仿宋"/>
          <w:b w:val="0"/>
          <w:bCs/>
          <w:szCs w:val="32"/>
        </w:rPr>
      </w:pPr>
      <w:r>
        <w:rPr>
          <w:rStyle w:val="18"/>
          <w:rFonts w:ascii="仿宋" w:hAnsi="仿宋" w:eastAsia="仿宋"/>
          <w:bCs/>
          <w:szCs w:val="32"/>
        </w:rPr>
        <w:t>2.</w:t>
      </w:r>
      <w:r>
        <w:rPr>
          <w:rStyle w:val="18"/>
          <w:rFonts w:hint="eastAsia" w:ascii="仿宋" w:hAnsi="仿宋" w:eastAsia="仿宋"/>
          <w:bCs/>
          <w:szCs w:val="32"/>
        </w:rPr>
        <w:t>社会保障和就业（类）人力资源和社会保障管理事务（款）引进人才费用（项）</w:t>
      </w:r>
      <w:r>
        <w:rPr>
          <w:rStyle w:val="18"/>
          <w:rFonts w:ascii="仿宋" w:hAnsi="仿宋" w:eastAsia="仿宋"/>
          <w:bCs/>
          <w:szCs w:val="32"/>
        </w:rPr>
        <w:t>:</w:t>
      </w:r>
      <w:r>
        <w:rPr>
          <w:rStyle w:val="18"/>
          <w:rFonts w:hint="eastAsia" w:ascii="仿宋" w:hAnsi="仿宋" w:eastAsia="仿宋"/>
          <w:b w:val="0"/>
          <w:bCs/>
          <w:szCs w:val="32"/>
        </w:rPr>
        <w:t>支出决算为</w:t>
      </w:r>
      <w:r>
        <w:rPr>
          <w:rStyle w:val="18"/>
          <w:rFonts w:ascii="仿宋" w:hAnsi="仿宋" w:eastAsia="仿宋"/>
          <w:b w:val="0"/>
          <w:bCs/>
          <w:szCs w:val="32"/>
        </w:rPr>
        <w:t>1.2</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0" w:firstLineChars="200"/>
        <w:rPr>
          <w:rStyle w:val="18"/>
          <w:rFonts w:ascii="仿宋" w:hAnsi="仿宋" w:eastAsia="仿宋"/>
          <w:b w:val="0"/>
          <w:bCs/>
          <w:szCs w:val="32"/>
        </w:rPr>
      </w:pPr>
      <w:r>
        <w:rPr>
          <w:rStyle w:val="18"/>
          <w:rFonts w:ascii="仿宋" w:hAnsi="仿宋" w:eastAsia="仿宋"/>
          <w:b w:val="0"/>
          <w:bCs/>
          <w:szCs w:val="32"/>
        </w:rPr>
        <w:t>3.</w:t>
      </w:r>
      <w:r>
        <w:rPr>
          <w:rStyle w:val="18"/>
          <w:rFonts w:hint="eastAsia" w:ascii="仿宋" w:hAnsi="仿宋" w:eastAsia="仿宋"/>
          <w:bCs/>
          <w:szCs w:val="32"/>
        </w:rPr>
        <w:t>社会保障和就业（类）行政事业单位养老支出（款）机关事业单位基本养老保险缴费支出（项）</w:t>
      </w:r>
      <w:r>
        <w:rPr>
          <w:rStyle w:val="18"/>
          <w:rFonts w:ascii="仿宋" w:hAnsi="仿宋" w:eastAsia="仿宋"/>
          <w:bCs/>
          <w:szCs w:val="32"/>
        </w:rPr>
        <w:t>:</w:t>
      </w:r>
      <w:r>
        <w:rPr>
          <w:rStyle w:val="18"/>
          <w:rFonts w:hint="eastAsia" w:ascii="仿宋" w:hAnsi="仿宋" w:eastAsia="仿宋"/>
          <w:b w:val="0"/>
          <w:bCs/>
          <w:szCs w:val="32"/>
        </w:rPr>
        <w:t>支出决算为</w:t>
      </w:r>
      <w:r>
        <w:rPr>
          <w:rStyle w:val="18"/>
          <w:rFonts w:ascii="仿宋" w:hAnsi="仿宋" w:eastAsia="仿宋"/>
          <w:b w:val="0"/>
          <w:bCs/>
          <w:szCs w:val="32"/>
        </w:rPr>
        <w:t>39.72</w:t>
      </w:r>
      <w:r>
        <w:rPr>
          <w:rStyle w:val="18"/>
          <w:rFonts w:hint="eastAsia" w:ascii="仿宋" w:hAnsi="仿宋" w:eastAsia="仿宋"/>
          <w:b w:val="0"/>
          <w:bCs/>
          <w:szCs w:val="32"/>
        </w:rPr>
        <w:t>万元，完成预算</w:t>
      </w:r>
      <w:r>
        <w:rPr>
          <w:rStyle w:val="18"/>
          <w:rFonts w:ascii="仿宋" w:hAnsi="仿宋" w:eastAsia="仿宋"/>
          <w:b w:val="0"/>
          <w:bCs/>
          <w:szCs w:val="32"/>
        </w:rPr>
        <w:t>66.33%</w:t>
      </w:r>
      <w:r>
        <w:rPr>
          <w:rStyle w:val="18"/>
          <w:rFonts w:hint="eastAsia" w:ascii="仿宋" w:hAnsi="仿宋" w:eastAsia="仿宋"/>
          <w:b w:val="0"/>
          <w:bCs/>
          <w:szCs w:val="32"/>
        </w:rPr>
        <w:t>，决算数小于预算数的主要原因是</w:t>
      </w:r>
      <w:r>
        <w:rPr>
          <w:rFonts w:hint="eastAsia" w:ascii="仿宋" w:hAnsi="仿宋" w:eastAsia="仿宋"/>
          <w:color w:val="000000"/>
          <w:szCs w:val="32"/>
        </w:rPr>
        <w:t>部分养老保险于2</w:t>
      </w:r>
      <w:r>
        <w:rPr>
          <w:rFonts w:ascii="仿宋" w:hAnsi="仿宋" w:eastAsia="仿宋"/>
          <w:color w:val="000000"/>
          <w:szCs w:val="32"/>
        </w:rPr>
        <w:t>023</w:t>
      </w:r>
      <w:r>
        <w:rPr>
          <w:rFonts w:hint="eastAsia" w:ascii="仿宋" w:hAnsi="仿宋" w:eastAsia="仿宋"/>
          <w:color w:val="000000"/>
          <w:szCs w:val="32"/>
        </w:rPr>
        <w:t>年初完成缴费</w:t>
      </w:r>
      <w:r>
        <w:rPr>
          <w:rStyle w:val="18"/>
          <w:rFonts w:hint="eastAsia" w:ascii="仿宋" w:hAnsi="仿宋" w:eastAsia="仿宋"/>
          <w:b w:val="0"/>
          <w:bCs/>
          <w:szCs w:val="32"/>
        </w:rPr>
        <w:t>。</w:t>
      </w:r>
    </w:p>
    <w:p>
      <w:pPr>
        <w:spacing w:line="600" w:lineRule="exact"/>
        <w:ind w:firstLine="640" w:firstLineChars="200"/>
        <w:rPr>
          <w:rStyle w:val="18"/>
          <w:rFonts w:ascii="仿宋" w:hAnsi="仿宋" w:eastAsia="仿宋"/>
          <w:b w:val="0"/>
          <w:bCs/>
          <w:szCs w:val="32"/>
        </w:rPr>
      </w:pPr>
      <w:r>
        <w:rPr>
          <w:rStyle w:val="18"/>
          <w:rFonts w:ascii="仿宋" w:hAnsi="仿宋" w:eastAsia="仿宋"/>
          <w:b w:val="0"/>
          <w:bCs/>
          <w:szCs w:val="32"/>
        </w:rPr>
        <w:t>4.</w:t>
      </w:r>
      <w:r>
        <w:rPr>
          <w:rStyle w:val="18"/>
          <w:rFonts w:hint="eastAsia" w:ascii="仿宋" w:hAnsi="仿宋" w:eastAsia="仿宋"/>
          <w:bCs/>
          <w:szCs w:val="32"/>
        </w:rPr>
        <w:t>社会保障和就业（类）行政事业单位养老支出（款）机关事业单位职业年金缴费支出（项）</w:t>
      </w:r>
      <w:r>
        <w:rPr>
          <w:rStyle w:val="18"/>
          <w:rFonts w:ascii="仿宋" w:hAnsi="仿宋" w:eastAsia="仿宋"/>
          <w:bCs/>
          <w:szCs w:val="32"/>
        </w:rPr>
        <w:t>:</w:t>
      </w:r>
      <w:r>
        <w:rPr>
          <w:rStyle w:val="18"/>
          <w:rFonts w:ascii="仿宋" w:hAnsi="仿宋" w:eastAsia="仿宋"/>
          <w:b w:val="0"/>
          <w:bCs/>
          <w:szCs w:val="32"/>
        </w:rPr>
        <w:t xml:space="preserve"> </w:t>
      </w:r>
      <w:r>
        <w:rPr>
          <w:rStyle w:val="18"/>
          <w:rFonts w:hint="eastAsia" w:ascii="仿宋" w:hAnsi="仿宋" w:eastAsia="仿宋"/>
          <w:b w:val="0"/>
          <w:bCs/>
          <w:szCs w:val="32"/>
        </w:rPr>
        <w:t>支出决算为</w:t>
      </w:r>
      <w:r>
        <w:rPr>
          <w:rStyle w:val="18"/>
          <w:rFonts w:ascii="仿宋" w:hAnsi="仿宋" w:eastAsia="仿宋"/>
          <w:b w:val="0"/>
          <w:bCs/>
          <w:szCs w:val="32"/>
        </w:rPr>
        <w:t>17.35</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0" w:firstLineChars="200"/>
        <w:rPr>
          <w:rFonts w:ascii="仿宋" w:hAnsi="仿宋" w:eastAsia="仿宋"/>
          <w:b/>
          <w:szCs w:val="32"/>
        </w:rPr>
      </w:pPr>
      <w:r>
        <w:rPr>
          <w:rStyle w:val="18"/>
          <w:rFonts w:ascii="仿宋" w:hAnsi="仿宋" w:eastAsia="仿宋"/>
          <w:b w:val="0"/>
          <w:bCs/>
          <w:szCs w:val="32"/>
        </w:rPr>
        <w:t>5.</w:t>
      </w:r>
      <w:r>
        <w:rPr>
          <w:rStyle w:val="18"/>
          <w:rFonts w:hint="eastAsia" w:ascii="仿宋" w:hAnsi="仿宋" w:eastAsia="仿宋"/>
          <w:bCs/>
          <w:szCs w:val="32"/>
        </w:rPr>
        <w:t>社会保障和就业（类）其他社会保障和就业支出（款）其他社会保障和就业支出（项）：</w:t>
      </w:r>
      <w:r>
        <w:rPr>
          <w:rStyle w:val="18"/>
          <w:rFonts w:ascii="仿宋" w:hAnsi="仿宋" w:eastAsia="仿宋"/>
          <w:b w:val="0"/>
          <w:bCs/>
          <w:szCs w:val="32"/>
        </w:rPr>
        <w:t xml:space="preserve"> </w:t>
      </w:r>
      <w:r>
        <w:rPr>
          <w:rStyle w:val="18"/>
          <w:rFonts w:hint="eastAsia" w:ascii="仿宋" w:hAnsi="仿宋" w:eastAsia="仿宋"/>
          <w:b w:val="0"/>
          <w:bCs/>
          <w:szCs w:val="32"/>
        </w:rPr>
        <w:t>支出决算为</w:t>
      </w:r>
      <w:r>
        <w:rPr>
          <w:rStyle w:val="18"/>
          <w:rFonts w:ascii="仿宋" w:hAnsi="仿宋" w:eastAsia="仿宋"/>
          <w:b w:val="0"/>
          <w:bCs/>
          <w:szCs w:val="32"/>
        </w:rPr>
        <w:t>2.17</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2" w:firstLineChars="200"/>
        <w:rPr>
          <w:rStyle w:val="18"/>
          <w:rFonts w:ascii="仿宋" w:hAnsi="仿宋" w:eastAsia="仿宋"/>
          <w:b w:val="0"/>
          <w:bCs/>
          <w:szCs w:val="32"/>
        </w:rPr>
      </w:pPr>
      <w:r>
        <w:rPr>
          <w:rStyle w:val="18"/>
          <w:rFonts w:ascii="仿宋" w:hAnsi="仿宋" w:eastAsia="仿宋"/>
          <w:bCs/>
          <w:szCs w:val="32"/>
        </w:rPr>
        <w:t>6.</w:t>
      </w:r>
      <w:r>
        <w:rPr>
          <w:rFonts w:hint="eastAsia" w:ascii="仿宋" w:hAnsi="仿宋" w:eastAsia="仿宋"/>
          <w:b/>
          <w:bCs/>
          <w:szCs w:val="32"/>
        </w:rPr>
        <w:t>卫生健康</w:t>
      </w:r>
      <w:r>
        <w:rPr>
          <w:rStyle w:val="18"/>
          <w:rFonts w:hint="eastAsia" w:ascii="仿宋" w:hAnsi="仿宋" w:eastAsia="仿宋"/>
          <w:bCs/>
          <w:szCs w:val="32"/>
        </w:rPr>
        <w:t>（类）行政事业单位医疗（款）行政单位医疗（项）：</w:t>
      </w:r>
      <w:r>
        <w:rPr>
          <w:rStyle w:val="18"/>
          <w:rFonts w:hint="eastAsia" w:ascii="仿宋" w:hAnsi="仿宋" w:eastAsia="仿宋"/>
          <w:b w:val="0"/>
          <w:bCs/>
          <w:szCs w:val="32"/>
        </w:rPr>
        <w:t>支出决算为2</w:t>
      </w:r>
      <w:r>
        <w:rPr>
          <w:rStyle w:val="18"/>
          <w:rFonts w:ascii="仿宋" w:hAnsi="仿宋" w:eastAsia="仿宋"/>
          <w:b w:val="0"/>
          <w:bCs/>
          <w:szCs w:val="32"/>
        </w:rPr>
        <w:t>0.62</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2" w:firstLineChars="200"/>
        <w:rPr>
          <w:rFonts w:ascii="仿宋" w:hAnsi="仿宋" w:eastAsia="仿宋"/>
          <w:b/>
          <w:bCs/>
          <w:szCs w:val="32"/>
        </w:rPr>
      </w:pPr>
      <w:r>
        <w:rPr>
          <w:rStyle w:val="18"/>
          <w:rFonts w:ascii="仿宋" w:hAnsi="仿宋" w:eastAsia="仿宋"/>
          <w:bCs/>
          <w:szCs w:val="32"/>
        </w:rPr>
        <w:t>7.</w:t>
      </w:r>
      <w:r>
        <w:rPr>
          <w:rFonts w:hint="eastAsia" w:ascii="仿宋" w:hAnsi="仿宋" w:eastAsia="仿宋"/>
          <w:b/>
          <w:bCs/>
          <w:szCs w:val="32"/>
        </w:rPr>
        <w:t>城乡社区</w:t>
      </w:r>
      <w:r>
        <w:rPr>
          <w:rStyle w:val="18"/>
          <w:rFonts w:hint="eastAsia" w:ascii="仿宋" w:hAnsi="仿宋" w:eastAsia="仿宋"/>
          <w:bCs/>
          <w:szCs w:val="32"/>
        </w:rPr>
        <w:t>（类）其他城乡社区支出（款）其他城乡社区支出（项）：</w:t>
      </w:r>
      <w:r>
        <w:rPr>
          <w:rStyle w:val="18"/>
          <w:rFonts w:hint="eastAsia" w:ascii="仿宋" w:hAnsi="仿宋" w:eastAsia="仿宋"/>
          <w:b w:val="0"/>
          <w:bCs/>
          <w:szCs w:val="32"/>
        </w:rPr>
        <w:t>支出决算为</w:t>
      </w:r>
      <w:r>
        <w:rPr>
          <w:rStyle w:val="18"/>
          <w:rFonts w:ascii="仿宋" w:hAnsi="仿宋" w:eastAsia="仿宋"/>
          <w:b w:val="0"/>
          <w:bCs/>
          <w:szCs w:val="32"/>
        </w:rPr>
        <w:t>500</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2" w:firstLineChars="200"/>
        <w:rPr>
          <w:rStyle w:val="18"/>
          <w:rFonts w:ascii="仿宋" w:hAnsi="仿宋" w:eastAsia="仿宋"/>
          <w:b w:val="0"/>
          <w:bCs/>
          <w:szCs w:val="32"/>
        </w:rPr>
      </w:pPr>
      <w:r>
        <w:rPr>
          <w:rStyle w:val="18"/>
          <w:rFonts w:ascii="仿宋" w:hAnsi="仿宋" w:eastAsia="仿宋"/>
          <w:bCs/>
          <w:szCs w:val="32"/>
        </w:rPr>
        <w:t>8.</w:t>
      </w:r>
      <w:r>
        <w:rPr>
          <w:rFonts w:hint="eastAsia" w:ascii="仿宋" w:hAnsi="仿宋" w:eastAsia="仿宋"/>
          <w:b/>
          <w:bCs/>
          <w:szCs w:val="32"/>
        </w:rPr>
        <w:t>资源勘探工业信息等支出</w:t>
      </w:r>
      <w:r>
        <w:rPr>
          <w:rStyle w:val="18"/>
          <w:rFonts w:hint="eastAsia" w:ascii="仿宋" w:hAnsi="仿宋" w:eastAsia="仿宋"/>
          <w:bCs/>
          <w:szCs w:val="32"/>
        </w:rPr>
        <w:t>（类）国有资产监管（款）行政运行（项）：</w:t>
      </w:r>
      <w:r>
        <w:rPr>
          <w:rStyle w:val="18"/>
          <w:rFonts w:hint="eastAsia" w:ascii="仿宋" w:hAnsi="仿宋" w:eastAsia="仿宋"/>
          <w:b w:val="0"/>
          <w:bCs/>
          <w:szCs w:val="32"/>
        </w:rPr>
        <w:t>支出决算为</w:t>
      </w:r>
      <w:r>
        <w:rPr>
          <w:rStyle w:val="18"/>
          <w:rFonts w:ascii="仿宋" w:hAnsi="仿宋" w:eastAsia="仿宋"/>
          <w:b w:val="0"/>
          <w:bCs/>
          <w:szCs w:val="32"/>
        </w:rPr>
        <w:t>553.40</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spacing w:line="600" w:lineRule="exact"/>
        <w:ind w:firstLine="642" w:firstLineChars="200"/>
        <w:rPr>
          <w:rFonts w:ascii="仿宋" w:hAnsi="仿宋" w:eastAsia="仿宋"/>
          <w:b/>
          <w:szCs w:val="32"/>
        </w:rPr>
      </w:pPr>
      <w:r>
        <w:rPr>
          <w:rStyle w:val="18"/>
          <w:rFonts w:ascii="仿宋" w:hAnsi="仿宋" w:eastAsia="仿宋"/>
          <w:bCs/>
          <w:szCs w:val="32"/>
        </w:rPr>
        <w:t>9.</w:t>
      </w:r>
      <w:r>
        <w:rPr>
          <w:rFonts w:hint="eastAsia" w:ascii="仿宋" w:hAnsi="仿宋" w:eastAsia="仿宋"/>
          <w:b/>
          <w:bCs/>
          <w:szCs w:val="32"/>
        </w:rPr>
        <w:t>资源勘探工业信息等支出</w:t>
      </w:r>
      <w:r>
        <w:rPr>
          <w:rStyle w:val="18"/>
          <w:rFonts w:hint="eastAsia" w:ascii="仿宋" w:hAnsi="仿宋" w:eastAsia="仿宋"/>
          <w:bCs/>
          <w:szCs w:val="32"/>
        </w:rPr>
        <w:t>（类）国有资产监管（款）一般行政管理事务（项）：</w:t>
      </w:r>
      <w:r>
        <w:rPr>
          <w:rStyle w:val="18"/>
          <w:rFonts w:hint="eastAsia" w:ascii="仿宋" w:hAnsi="仿宋" w:eastAsia="仿宋"/>
          <w:b w:val="0"/>
          <w:bCs/>
          <w:szCs w:val="32"/>
        </w:rPr>
        <w:t>支出决算为</w:t>
      </w:r>
      <w:r>
        <w:rPr>
          <w:rStyle w:val="18"/>
          <w:rFonts w:ascii="仿宋" w:hAnsi="仿宋" w:eastAsia="仿宋"/>
          <w:b w:val="0"/>
          <w:bCs/>
          <w:szCs w:val="32"/>
        </w:rPr>
        <w:t>107.99</w:t>
      </w:r>
      <w:r>
        <w:rPr>
          <w:rStyle w:val="18"/>
          <w:rFonts w:hint="eastAsia" w:ascii="仿宋" w:hAnsi="仿宋" w:eastAsia="仿宋"/>
          <w:b w:val="0"/>
          <w:bCs/>
          <w:szCs w:val="32"/>
        </w:rPr>
        <w:t>万元，完成预算</w:t>
      </w:r>
      <w:r>
        <w:rPr>
          <w:rStyle w:val="18"/>
          <w:rFonts w:ascii="仿宋" w:hAnsi="仿宋" w:eastAsia="仿宋"/>
          <w:b w:val="0"/>
          <w:bCs/>
          <w:szCs w:val="32"/>
        </w:rPr>
        <w:t>96.96%</w:t>
      </w:r>
      <w:r>
        <w:rPr>
          <w:rStyle w:val="18"/>
          <w:rFonts w:hint="eastAsia" w:ascii="仿宋" w:hAnsi="仿宋" w:eastAsia="仿宋"/>
          <w:b w:val="0"/>
          <w:bCs/>
          <w:szCs w:val="32"/>
        </w:rPr>
        <w:t>，决算数小于预算数的主要原因是</w:t>
      </w:r>
      <w:r>
        <w:rPr>
          <w:rFonts w:hint="eastAsia" w:ascii="仿宋" w:hAnsi="仿宋" w:eastAsia="仿宋"/>
          <w:color w:val="000000"/>
          <w:szCs w:val="32"/>
        </w:rPr>
        <w:t>严格贯彻 “过紧日子”要求，不折不扣落实好压减一般性支出的精神。</w:t>
      </w:r>
    </w:p>
    <w:p>
      <w:pPr>
        <w:spacing w:line="600" w:lineRule="exact"/>
        <w:ind w:firstLine="642" w:firstLineChars="200"/>
        <w:rPr>
          <w:rFonts w:ascii="仿宋" w:hAnsi="仿宋" w:eastAsia="仿宋"/>
          <w:b/>
          <w:bCs/>
          <w:szCs w:val="32"/>
        </w:rPr>
      </w:pPr>
      <w:r>
        <w:rPr>
          <w:rStyle w:val="18"/>
          <w:rFonts w:ascii="仿宋" w:hAnsi="仿宋" w:eastAsia="仿宋"/>
          <w:bCs/>
          <w:szCs w:val="32"/>
        </w:rPr>
        <w:t>1</w:t>
      </w:r>
      <w:r>
        <w:rPr>
          <w:rFonts w:hint="eastAsia" w:ascii="仿宋" w:hAnsi="仿宋" w:eastAsia="仿宋"/>
          <w:b/>
          <w:bCs/>
          <w:szCs w:val="32"/>
        </w:rPr>
        <w:t>0</w:t>
      </w:r>
      <w:r>
        <w:rPr>
          <w:rFonts w:ascii="仿宋" w:hAnsi="仿宋" w:eastAsia="仿宋"/>
          <w:b/>
          <w:bCs/>
          <w:szCs w:val="32"/>
        </w:rPr>
        <w:t>.</w:t>
      </w:r>
      <w:r>
        <w:rPr>
          <w:rFonts w:hint="eastAsia" w:ascii="仿宋" w:hAnsi="仿宋" w:eastAsia="仿宋"/>
          <w:b/>
          <w:bCs/>
          <w:szCs w:val="32"/>
        </w:rPr>
        <w:t>住房保障</w:t>
      </w:r>
      <w:r>
        <w:rPr>
          <w:rStyle w:val="18"/>
          <w:rFonts w:hint="eastAsia" w:ascii="仿宋" w:hAnsi="仿宋" w:eastAsia="仿宋"/>
          <w:bCs/>
          <w:szCs w:val="32"/>
        </w:rPr>
        <w:t>（类）住房改革支出（款）住房公积金（项）：</w:t>
      </w:r>
      <w:r>
        <w:rPr>
          <w:rStyle w:val="18"/>
          <w:rFonts w:hint="eastAsia" w:ascii="仿宋" w:hAnsi="仿宋" w:eastAsia="仿宋"/>
          <w:b w:val="0"/>
          <w:bCs/>
          <w:szCs w:val="32"/>
        </w:rPr>
        <w:t>支出决算为</w:t>
      </w:r>
      <w:r>
        <w:rPr>
          <w:rStyle w:val="18"/>
          <w:rFonts w:ascii="仿宋" w:hAnsi="仿宋" w:eastAsia="仿宋"/>
          <w:b w:val="0"/>
          <w:bCs/>
          <w:szCs w:val="32"/>
        </w:rPr>
        <w:t>49.42</w:t>
      </w:r>
      <w:r>
        <w:rPr>
          <w:rStyle w:val="18"/>
          <w:rFonts w:hint="eastAsia" w:ascii="仿宋" w:hAnsi="仿宋" w:eastAsia="仿宋"/>
          <w:b w:val="0"/>
          <w:bCs/>
          <w:szCs w:val="32"/>
        </w:rPr>
        <w:t>万元，完成预算</w:t>
      </w:r>
      <w:r>
        <w:rPr>
          <w:rStyle w:val="18"/>
          <w:rFonts w:ascii="仿宋" w:hAnsi="仿宋" w:eastAsia="仿宋"/>
          <w:b w:val="0"/>
          <w:bCs/>
          <w:szCs w:val="32"/>
        </w:rPr>
        <w:t>100%</w:t>
      </w:r>
      <w:r>
        <w:rPr>
          <w:rStyle w:val="18"/>
          <w:rFonts w:hint="eastAsia" w:ascii="仿宋" w:hAnsi="仿宋" w:eastAsia="仿宋"/>
          <w:b w:val="0"/>
          <w:bCs/>
          <w:szCs w:val="32"/>
        </w:rPr>
        <w:t>。</w:t>
      </w:r>
    </w:p>
    <w:p>
      <w:pPr>
        <w:tabs>
          <w:tab w:val="right" w:pos="8306"/>
        </w:tabs>
        <w:spacing w:line="600" w:lineRule="exact"/>
        <w:ind w:firstLine="640"/>
        <w:outlineLvl w:val="1"/>
        <w:rPr>
          <w:rStyle w:val="31"/>
        </w:rPr>
      </w:pPr>
      <w:bookmarkStart w:id="59" w:name="_Toc15396608"/>
      <w:bookmarkStart w:id="60" w:name="_Toc147651412"/>
      <w:bookmarkStart w:id="61" w:name="_Toc15377214"/>
      <w:r>
        <w:rPr>
          <w:rFonts w:hint="eastAsia" w:ascii="黑体" w:eastAsia="黑体"/>
          <w:szCs w:val="32"/>
        </w:rPr>
        <w:t>六</w:t>
      </w:r>
      <w:r>
        <w:rPr>
          <w:rFonts w:hint="eastAsia" w:ascii="黑体" w:eastAsia="黑体"/>
          <w:b/>
          <w:szCs w:val="32"/>
        </w:rPr>
        <w:t>、</w:t>
      </w:r>
      <w:r>
        <w:rPr>
          <w:rFonts w:hint="eastAsia" w:ascii="黑体" w:hAnsi="黑体" w:eastAsia="黑体"/>
          <w:b/>
          <w:szCs w:val="32"/>
        </w:rPr>
        <w:t>一</w:t>
      </w:r>
      <w:r>
        <w:rPr>
          <w:rStyle w:val="31"/>
          <w:rFonts w:hint="eastAsia" w:ascii="黑体" w:hAnsi="黑体" w:eastAsia="黑体"/>
          <w:b w:val="0"/>
        </w:rPr>
        <w:t>般公共预算财政拨款基本支出决算情况说明</w:t>
      </w:r>
      <w:bookmarkEnd w:id="59"/>
      <w:bookmarkEnd w:id="60"/>
      <w:bookmarkEnd w:id="61"/>
      <w:r>
        <w:rPr>
          <w:rStyle w:val="31"/>
          <w:rFonts w:ascii="黑体" w:hAnsi="黑体" w:eastAsia="黑体"/>
          <w:b w:val="0"/>
        </w:rPr>
        <w:tab/>
      </w:r>
    </w:p>
    <w:p>
      <w:pPr>
        <w:spacing w:line="600" w:lineRule="exact"/>
        <w:ind w:firstLine="645"/>
        <w:rPr>
          <w:rFonts w:ascii="仿宋_GB2312" w:hAnsi="仿宋"/>
          <w:szCs w:val="32"/>
        </w:rPr>
      </w:pPr>
      <w:r>
        <w:rPr>
          <w:rFonts w:hint="eastAsia" w:ascii="仿宋_GB2312" w:hAnsi="仿宋"/>
          <w:szCs w:val="32"/>
        </w:rPr>
        <w:t>2022年一般公共预算财政拨款基本支出683.29万元，其中：</w:t>
      </w:r>
    </w:p>
    <w:p>
      <w:pPr>
        <w:spacing w:line="600" w:lineRule="exact"/>
        <w:ind w:firstLine="645"/>
        <w:rPr>
          <w:rFonts w:ascii="仿宋_GB2312" w:hAnsi="仿宋"/>
          <w:szCs w:val="32"/>
        </w:rPr>
      </w:pPr>
      <w:r>
        <w:rPr>
          <w:rFonts w:hint="eastAsia" w:ascii="仿宋_GB2312" w:hAnsi="仿宋"/>
          <w:szCs w:val="32"/>
        </w:rPr>
        <w:t>人员经费598.54万元，主要包括：基本工资、津贴补贴、奖金、机关事业单位基本养老保险缴费、职业年金缴费、职工基本医疗保险缴费、其他社会保障缴费、住房公积金、其他工资福利支出、生活补助、奖励金、其他对个人和家庭的补助支出。</w:t>
      </w:r>
      <w:r>
        <w:rPr>
          <w:rFonts w:hint="eastAsia" w:ascii="仿宋_GB2312" w:hAnsi="仿宋"/>
          <w:szCs w:val="32"/>
        </w:rPr>
        <w:br w:type="textWrapping"/>
      </w:r>
      <w:r>
        <w:rPr>
          <w:rFonts w:hint="eastAsia" w:ascii="仿宋_GB2312" w:hAnsi="仿宋"/>
          <w:szCs w:val="32"/>
        </w:rPr>
        <w:t>　　公用经费84.75万元，主要包括：办公费、水费、电费、邮电费、物业管理费、差旅费、维修（护）费、培训费、工会经费、福利费、公务用车运行维护费、其他交通费用、其他商品和服务支出。</w:t>
      </w:r>
    </w:p>
    <w:p>
      <w:pPr>
        <w:spacing w:line="600" w:lineRule="exact"/>
        <w:ind w:firstLine="640"/>
        <w:outlineLvl w:val="1"/>
        <w:rPr>
          <w:rStyle w:val="31"/>
          <w:rFonts w:ascii="黑体" w:hAnsi="黑体" w:eastAsia="黑体"/>
          <w:b w:val="0"/>
        </w:rPr>
      </w:pPr>
      <w:bookmarkStart w:id="62" w:name="_Toc15396609"/>
      <w:bookmarkStart w:id="63" w:name="_Toc15377215"/>
      <w:bookmarkStart w:id="64" w:name="_Toc147651413"/>
      <w:r>
        <w:rPr>
          <w:rFonts w:hint="eastAsia" w:ascii="黑体" w:eastAsia="黑体"/>
          <w:szCs w:val="32"/>
        </w:rPr>
        <w:t>七、</w:t>
      </w:r>
      <w:r>
        <w:rPr>
          <w:rStyle w:val="31"/>
          <w:rFonts w:hint="eastAsia" w:ascii="黑体" w:hAnsi="黑体" w:eastAsia="黑体"/>
          <w:b w:val="0"/>
        </w:rPr>
        <w:t>财政拨款</w:t>
      </w:r>
      <w:r>
        <w:rPr>
          <w:rStyle w:val="31"/>
          <w:rFonts w:hint="eastAsia" w:ascii="黑体" w:hAnsi="黑体" w:eastAsia="黑体"/>
        </w:rPr>
        <w:t>“</w:t>
      </w:r>
      <w:r>
        <w:rPr>
          <w:rStyle w:val="31"/>
          <w:rFonts w:hint="eastAsia" w:ascii="黑体" w:hAnsi="黑体" w:eastAsia="黑体"/>
          <w:b w:val="0"/>
        </w:rPr>
        <w:t>三公”经费支出决算情况说明</w:t>
      </w:r>
      <w:bookmarkEnd w:id="62"/>
      <w:bookmarkEnd w:id="63"/>
      <w:bookmarkEnd w:id="64"/>
    </w:p>
    <w:p>
      <w:pPr>
        <w:spacing w:line="600" w:lineRule="exact"/>
        <w:ind w:firstLine="640"/>
        <w:outlineLvl w:val="2"/>
        <w:rPr>
          <w:rFonts w:ascii="仿宋" w:hAnsi="仿宋" w:eastAsia="仿宋"/>
          <w:b/>
          <w:szCs w:val="32"/>
        </w:rPr>
      </w:pPr>
      <w:bookmarkStart w:id="65" w:name="_Toc147651414"/>
      <w:bookmarkStart w:id="66" w:name="_Toc15377216"/>
      <w:r>
        <w:rPr>
          <w:rFonts w:hint="eastAsia" w:ascii="仿宋" w:hAnsi="仿宋" w:eastAsia="仿宋"/>
          <w:b/>
          <w:szCs w:val="32"/>
        </w:rPr>
        <w:t>（一）“三公”经费财政拨款支出决算总体情况说明</w:t>
      </w:r>
      <w:bookmarkEnd w:id="65"/>
      <w:bookmarkEnd w:id="66"/>
    </w:p>
    <w:p>
      <w:pPr>
        <w:spacing w:line="600" w:lineRule="exact"/>
        <w:ind w:firstLine="640"/>
        <w:rPr>
          <w:rFonts w:ascii="仿宋_GB2312" w:hAnsi="仿宋"/>
          <w:szCs w:val="32"/>
        </w:rPr>
      </w:pPr>
      <w:r>
        <w:rPr>
          <w:rFonts w:hint="eastAsia" w:ascii="仿宋_GB2312" w:hAnsi="仿宋"/>
          <w:szCs w:val="32"/>
        </w:rPr>
        <w:t>2022年“三公”经费财政拨款支出决算为3.76万元，完成预算100%，较上年增加0.94万元，增长33.33%。</w:t>
      </w:r>
      <w:r>
        <w:rPr>
          <w:rFonts w:ascii="仿宋_GB2312" w:hAnsi="仿宋"/>
          <w:szCs w:val="32"/>
        </w:rPr>
        <w:t>决算数与预算数持平。</w:t>
      </w:r>
    </w:p>
    <w:p>
      <w:pPr>
        <w:spacing w:line="600" w:lineRule="exact"/>
        <w:ind w:firstLine="640"/>
        <w:outlineLvl w:val="2"/>
        <w:rPr>
          <w:rFonts w:ascii="仿宋" w:hAnsi="仿宋" w:eastAsia="仿宋"/>
          <w:b/>
          <w:szCs w:val="32"/>
        </w:rPr>
      </w:pPr>
      <w:bookmarkStart w:id="67" w:name="_Toc15377217"/>
      <w:bookmarkStart w:id="68" w:name="_Toc147651415"/>
      <w:r>
        <w:rPr>
          <w:rFonts w:hint="eastAsia" w:ascii="仿宋" w:hAnsi="仿宋" w:eastAsia="仿宋"/>
          <w:b/>
          <w:szCs w:val="32"/>
        </w:rPr>
        <w:t>（二）“三公”经费财政拨款支出决算具体情况说明</w:t>
      </w:r>
      <w:bookmarkEnd w:id="67"/>
      <w:bookmarkEnd w:id="68"/>
    </w:p>
    <w:p>
      <w:pPr>
        <w:spacing w:line="600" w:lineRule="exact"/>
        <w:ind w:firstLine="640"/>
        <w:rPr>
          <w:rFonts w:ascii="仿宋_GB2312" w:hAnsi="仿宋"/>
          <w:szCs w:val="32"/>
        </w:rPr>
      </w:pPr>
      <w:r>
        <w:drawing>
          <wp:anchor distT="0" distB="0" distL="114300" distR="114300" simplePos="0" relativeHeight="251663360" behindDoc="0" locked="0" layoutInCell="1" allowOverlap="1">
            <wp:simplePos x="0" y="0"/>
            <wp:positionH relativeFrom="margin">
              <wp:posOffset>158750</wp:posOffset>
            </wp:positionH>
            <wp:positionV relativeFrom="paragraph">
              <wp:posOffset>1557655</wp:posOffset>
            </wp:positionV>
            <wp:extent cx="5056505" cy="2679065"/>
            <wp:effectExtent l="0" t="0" r="10795" b="6985"/>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_GB2312" w:hAnsi="仿宋"/>
          <w:szCs w:val="32"/>
        </w:rPr>
        <w:t>20</w:t>
      </w:r>
      <w:r>
        <w:rPr>
          <w:rFonts w:hint="eastAsia" w:ascii="仿宋_GB2312" w:hAnsi="仿宋"/>
          <w:szCs w:val="32"/>
        </w:rPr>
        <w:t>22年“三公”经费财政拨款支出决算中，因公出国（境）费支出决算</w:t>
      </w:r>
      <w:r>
        <w:rPr>
          <w:rFonts w:ascii="仿宋_GB2312" w:hAnsi="仿宋"/>
          <w:szCs w:val="32"/>
        </w:rPr>
        <w:t>0</w:t>
      </w:r>
      <w:r>
        <w:rPr>
          <w:rFonts w:hint="eastAsia" w:ascii="仿宋_GB2312" w:hAnsi="仿宋"/>
          <w:szCs w:val="32"/>
        </w:rPr>
        <w:t>万元；公务用车购置及运行维护费支出决算3</w:t>
      </w:r>
      <w:r>
        <w:rPr>
          <w:rFonts w:ascii="仿宋_GB2312" w:hAnsi="仿宋"/>
          <w:szCs w:val="32"/>
        </w:rPr>
        <w:t>.76</w:t>
      </w:r>
      <w:r>
        <w:rPr>
          <w:rFonts w:hint="eastAsia" w:ascii="仿宋_GB2312" w:hAnsi="仿宋"/>
          <w:szCs w:val="32"/>
        </w:rPr>
        <w:t>万元，占</w:t>
      </w:r>
      <w:r>
        <w:rPr>
          <w:rFonts w:ascii="仿宋_GB2312" w:hAnsi="仿宋"/>
          <w:szCs w:val="32"/>
        </w:rPr>
        <w:t>100%</w:t>
      </w:r>
      <w:r>
        <w:rPr>
          <w:rFonts w:hint="eastAsia" w:ascii="仿宋_GB2312" w:hAnsi="仿宋"/>
          <w:szCs w:val="32"/>
        </w:rPr>
        <w:t>；公务接待费支出决算</w:t>
      </w:r>
      <w:r>
        <w:rPr>
          <w:rFonts w:ascii="仿宋_GB2312" w:hAnsi="仿宋"/>
          <w:szCs w:val="32"/>
        </w:rPr>
        <w:t>0</w:t>
      </w:r>
      <w:r>
        <w:rPr>
          <w:rFonts w:hint="eastAsia" w:ascii="仿宋_GB2312" w:hAnsi="仿宋"/>
          <w:szCs w:val="32"/>
        </w:rPr>
        <w:t>万元。具体情况如下：</w:t>
      </w:r>
    </w:p>
    <w:p>
      <w:pPr>
        <w:spacing w:line="600" w:lineRule="exact"/>
        <w:jc w:val="center"/>
        <w:rPr>
          <w:rFonts w:ascii="仿宋" w:hAnsi="仿宋" w:eastAsia="仿宋"/>
          <w:szCs w:val="32"/>
        </w:rPr>
      </w:pPr>
      <w:r>
        <w:rPr>
          <w:rFonts w:hint="eastAsia" w:ascii="仿宋" w:hAnsi="仿宋" w:eastAsia="仿宋"/>
          <w:szCs w:val="32"/>
        </w:rPr>
        <w:t>（图7：“三公”经费财政拨款支出结构）</w:t>
      </w:r>
    </w:p>
    <w:p>
      <w:pPr>
        <w:spacing w:line="600" w:lineRule="exact"/>
        <w:ind w:firstLine="640"/>
        <w:rPr>
          <w:rFonts w:ascii="仿宋_GB2312"/>
          <w:b/>
          <w:szCs w:val="32"/>
        </w:rPr>
      </w:pPr>
      <w:r>
        <w:rPr>
          <w:rFonts w:ascii="仿宋_GB2312"/>
          <w:b/>
          <w:szCs w:val="32"/>
        </w:rPr>
        <w:t>1.</w:t>
      </w:r>
      <w:r>
        <w:rPr>
          <w:rFonts w:hint="eastAsia" w:ascii="仿宋_GB2312"/>
          <w:b/>
          <w:szCs w:val="32"/>
        </w:rPr>
        <w:t>因公出国（境）经费支出</w:t>
      </w:r>
      <w:r>
        <w:rPr>
          <w:rFonts w:ascii="仿宋_GB2312"/>
          <w:szCs w:val="32"/>
        </w:rPr>
        <w:t>0</w:t>
      </w:r>
      <w:r>
        <w:rPr>
          <w:rFonts w:hint="eastAsia" w:ascii="仿宋_GB2312"/>
          <w:szCs w:val="32"/>
        </w:rPr>
        <w:t>万元，</w:t>
      </w:r>
      <w:r>
        <w:rPr>
          <w:rStyle w:val="18"/>
          <w:rFonts w:hint="eastAsia" w:ascii="仿宋" w:hAnsi="仿宋" w:eastAsia="仿宋"/>
          <w:b w:val="0"/>
          <w:bCs/>
          <w:szCs w:val="32"/>
        </w:rPr>
        <w:t>年初未安排预算</w:t>
      </w:r>
      <w:r>
        <w:rPr>
          <w:rStyle w:val="18"/>
          <w:rFonts w:ascii="仿宋" w:hAnsi="仿宋" w:eastAsia="仿宋"/>
          <w:b w:val="0"/>
          <w:bCs/>
          <w:szCs w:val="32"/>
        </w:rPr>
        <w:t>，较上年无变化</w:t>
      </w:r>
      <w:r>
        <w:rPr>
          <w:rFonts w:hint="eastAsia" w:ascii="仿宋_GB2312"/>
          <w:szCs w:val="32"/>
        </w:rPr>
        <w:t>。</w:t>
      </w:r>
    </w:p>
    <w:p>
      <w:pPr>
        <w:spacing w:line="600" w:lineRule="exact"/>
        <w:ind w:firstLine="640"/>
        <w:rPr>
          <w:rFonts w:ascii="仿宋_GB2312"/>
          <w:b/>
          <w:szCs w:val="32"/>
        </w:rPr>
      </w:pPr>
      <w:r>
        <w:rPr>
          <w:rFonts w:ascii="仿宋_GB2312"/>
          <w:b/>
          <w:szCs w:val="32"/>
        </w:rPr>
        <w:t>2.</w:t>
      </w:r>
      <w:r>
        <w:rPr>
          <w:rFonts w:hint="eastAsia" w:ascii="仿宋_GB2312"/>
          <w:b/>
          <w:szCs w:val="32"/>
        </w:rPr>
        <w:t>公务用车购置及运行维护费支出</w:t>
      </w:r>
      <w:r>
        <w:rPr>
          <w:rFonts w:hint="eastAsia" w:ascii="仿宋" w:hAnsi="仿宋" w:eastAsia="仿宋"/>
          <w:szCs w:val="32"/>
        </w:rPr>
        <w:t>3</w:t>
      </w:r>
      <w:r>
        <w:rPr>
          <w:rFonts w:ascii="仿宋" w:hAnsi="仿宋" w:eastAsia="仿宋"/>
          <w:szCs w:val="32"/>
        </w:rPr>
        <w:t>.76</w:t>
      </w:r>
      <w:r>
        <w:rPr>
          <w:rFonts w:hint="eastAsia" w:ascii="仿宋_GB2312"/>
          <w:szCs w:val="32"/>
        </w:rPr>
        <w:t>万元,</w:t>
      </w:r>
      <w:r>
        <w:rPr>
          <w:rStyle w:val="18"/>
          <w:rFonts w:hint="eastAsia" w:ascii="仿宋" w:hAnsi="仿宋" w:eastAsia="仿宋"/>
          <w:b w:val="0"/>
          <w:bCs/>
          <w:szCs w:val="32"/>
        </w:rPr>
        <w:t>完成预算</w:t>
      </w:r>
      <w:r>
        <w:rPr>
          <w:rStyle w:val="18"/>
          <w:rFonts w:ascii="仿宋" w:hAnsi="仿宋" w:eastAsia="仿宋"/>
          <w:b w:val="0"/>
          <w:bCs/>
          <w:szCs w:val="32"/>
        </w:rPr>
        <w:t>100%</w:t>
      </w:r>
      <w:r>
        <w:rPr>
          <w:rStyle w:val="18"/>
          <w:rFonts w:hint="eastAsia" w:ascii="仿宋" w:hAnsi="仿宋" w:eastAsia="仿宋"/>
          <w:b w:val="0"/>
          <w:bCs/>
          <w:szCs w:val="32"/>
        </w:rPr>
        <w:t>。</w:t>
      </w:r>
      <w:r>
        <w:rPr>
          <w:rFonts w:hint="eastAsia" w:ascii="仿宋_GB2312"/>
          <w:szCs w:val="32"/>
        </w:rPr>
        <w:t>公务用车购置及运行维护费支出决算比</w:t>
      </w:r>
      <w:r>
        <w:rPr>
          <w:rFonts w:ascii="仿宋_GB2312"/>
          <w:szCs w:val="32"/>
        </w:rPr>
        <w:t>20</w:t>
      </w:r>
      <w:r>
        <w:rPr>
          <w:rFonts w:hint="eastAsia" w:ascii="仿宋_GB2312"/>
          <w:szCs w:val="32"/>
        </w:rPr>
        <w:t>21年增加</w:t>
      </w:r>
      <w:r>
        <w:rPr>
          <w:rFonts w:ascii="仿宋_GB2312"/>
          <w:szCs w:val="32"/>
        </w:rPr>
        <w:t>0.94</w:t>
      </w:r>
      <w:r>
        <w:rPr>
          <w:rFonts w:hint="eastAsia" w:ascii="仿宋_GB2312"/>
          <w:szCs w:val="32"/>
        </w:rPr>
        <w:t>万元，增长</w:t>
      </w:r>
      <w:r>
        <w:rPr>
          <w:rFonts w:ascii="仿宋_GB2312"/>
          <w:szCs w:val="32"/>
        </w:rPr>
        <w:t>33.33%</w:t>
      </w:r>
      <w:r>
        <w:rPr>
          <w:rFonts w:hint="eastAsia" w:ascii="仿宋_GB2312"/>
          <w:szCs w:val="32"/>
        </w:rPr>
        <w:t>。主要原因是车辆运行维修费增多。</w:t>
      </w:r>
    </w:p>
    <w:p>
      <w:pPr>
        <w:spacing w:line="600" w:lineRule="exact"/>
        <w:ind w:firstLine="640" w:firstLineChars="200"/>
        <w:rPr>
          <w:rFonts w:ascii="仿宋_GB2312"/>
          <w:b/>
          <w:szCs w:val="32"/>
        </w:rPr>
      </w:pPr>
      <w:r>
        <w:rPr>
          <w:rFonts w:hint="eastAsia" w:ascii="仿宋_GB2312"/>
          <w:szCs w:val="32"/>
        </w:rPr>
        <w:t>其中：</w:t>
      </w:r>
      <w:r>
        <w:rPr>
          <w:rFonts w:hint="eastAsia" w:ascii="仿宋_GB2312"/>
          <w:b/>
          <w:szCs w:val="32"/>
        </w:rPr>
        <w:t>公务用车购置支出</w:t>
      </w:r>
      <w:r>
        <w:rPr>
          <w:rFonts w:ascii="仿宋_GB2312"/>
          <w:szCs w:val="32"/>
        </w:rPr>
        <w:t>0</w:t>
      </w:r>
      <w:r>
        <w:rPr>
          <w:rFonts w:hint="eastAsia" w:ascii="仿宋_GB2312"/>
          <w:szCs w:val="32"/>
        </w:rPr>
        <w:t>万元。截至</w:t>
      </w:r>
      <w:r>
        <w:rPr>
          <w:rFonts w:ascii="仿宋_GB2312"/>
          <w:szCs w:val="32"/>
        </w:rPr>
        <w:t>20</w:t>
      </w:r>
      <w:r>
        <w:rPr>
          <w:rFonts w:hint="eastAsia" w:ascii="仿宋_GB2312"/>
          <w:szCs w:val="32"/>
        </w:rPr>
        <w:t>22年</w:t>
      </w:r>
      <w:r>
        <w:rPr>
          <w:rFonts w:ascii="仿宋_GB2312"/>
          <w:szCs w:val="32"/>
        </w:rPr>
        <w:t>12</w:t>
      </w:r>
      <w:r>
        <w:rPr>
          <w:rFonts w:hint="eastAsia" w:ascii="仿宋_GB2312"/>
          <w:szCs w:val="32"/>
        </w:rPr>
        <w:t>月底，单位共有公务用车</w:t>
      </w:r>
      <w:r>
        <w:rPr>
          <w:rFonts w:ascii="仿宋_GB2312"/>
          <w:szCs w:val="32"/>
        </w:rPr>
        <w:t>1</w:t>
      </w:r>
      <w:r>
        <w:rPr>
          <w:rFonts w:hint="eastAsia" w:ascii="仿宋_GB2312"/>
          <w:szCs w:val="32"/>
        </w:rPr>
        <w:t>辆，其中：越野车</w:t>
      </w:r>
      <w:r>
        <w:rPr>
          <w:rFonts w:ascii="仿宋_GB2312"/>
          <w:szCs w:val="32"/>
        </w:rPr>
        <w:t>1</w:t>
      </w:r>
      <w:r>
        <w:rPr>
          <w:rFonts w:hint="eastAsia" w:ascii="仿宋_GB2312"/>
          <w:szCs w:val="32"/>
        </w:rPr>
        <w:t>辆。</w:t>
      </w:r>
    </w:p>
    <w:p>
      <w:pPr>
        <w:spacing w:line="600" w:lineRule="exact"/>
        <w:ind w:firstLine="640"/>
        <w:rPr>
          <w:rFonts w:ascii="仿宋_GB2312"/>
          <w:szCs w:val="32"/>
        </w:rPr>
      </w:pPr>
      <w:r>
        <w:rPr>
          <w:rFonts w:hint="eastAsia" w:ascii="仿宋_GB2312"/>
          <w:b/>
          <w:szCs w:val="32"/>
        </w:rPr>
        <w:t>公务用车运行维护费支出</w:t>
      </w:r>
      <w:r>
        <w:rPr>
          <w:rFonts w:ascii="仿宋_GB2312"/>
          <w:szCs w:val="32"/>
        </w:rPr>
        <w:t>3.76</w:t>
      </w:r>
      <w:r>
        <w:rPr>
          <w:rFonts w:hint="eastAsia" w:ascii="仿宋_GB2312"/>
          <w:szCs w:val="32"/>
        </w:rPr>
        <w:t>万元。主要用于日常公务活动中产生的公务用车燃料费、维修费、过路过桥费、保险费等支出。</w:t>
      </w:r>
    </w:p>
    <w:p>
      <w:pPr>
        <w:spacing w:line="600" w:lineRule="exact"/>
        <w:ind w:firstLine="640"/>
        <w:rPr>
          <w:rFonts w:ascii="仿宋_GB2312"/>
          <w:szCs w:val="32"/>
        </w:rPr>
      </w:pPr>
      <w:r>
        <w:rPr>
          <w:rFonts w:ascii="仿宋_GB2312"/>
          <w:b/>
          <w:szCs w:val="32"/>
        </w:rPr>
        <w:t>3.</w:t>
      </w:r>
      <w:r>
        <w:rPr>
          <w:rFonts w:hint="eastAsia" w:ascii="仿宋_GB2312"/>
          <w:b/>
          <w:szCs w:val="32"/>
        </w:rPr>
        <w:t>公务接待费支出</w:t>
      </w:r>
      <w:r>
        <w:rPr>
          <w:rFonts w:ascii="仿宋_GB2312"/>
          <w:szCs w:val="32"/>
        </w:rPr>
        <w:t>0</w:t>
      </w:r>
      <w:r>
        <w:rPr>
          <w:rFonts w:hint="eastAsia" w:ascii="仿宋_GB2312"/>
          <w:szCs w:val="32"/>
        </w:rPr>
        <w:t>万元。</w:t>
      </w:r>
      <w:bookmarkStart w:id="69" w:name="_Toc15377218"/>
      <w:bookmarkStart w:id="70" w:name="_Toc15396610"/>
    </w:p>
    <w:p>
      <w:pPr>
        <w:spacing w:line="600" w:lineRule="exact"/>
        <w:ind w:firstLine="640"/>
        <w:outlineLvl w:val="1"/>
        <w:rPr>
          <w:rStyle w:val="31"/>
          <w:rFonts w:ascii="黑体" w:hAnsi="黑体" w:eastAsia="黑体"/>
        </w:rPr>
      </w:pPr>
      <w:bookmarkStart w:id="71" w:name="_Toc147651416"/>
      <w:r>
        <w:rPr>
          <w:rFonts w:hint="eastAsia" w:ascii="黑体" w:eastAsia="黑体"/>
          <w:szCs w:val="32"/>
        </w:rPr>
        <w:t>八、</w:t>
      </w:r>
      <w:r>
        <w:rPr>
          <w:rStyle w:val="31"/>
          <w:rFonts w:hint="eastAsia" w:ascii="黑体" w:hAnsi="黑体" w:eastAsia="黑体"/>
          <w:b w:val="0"/>
        </w:rPr>
        <w:t>政府性基金预算支出决算情况说明</w:t>
      </w:r>
      <w:bookmarkEnd w:id="69"/>
      <w:bookmarkEnd w:id="70"/>
      <w:bookmarkEnd w:id="71"/>
    </w:p>
    <w:p>
      <w:pPr>
        <w:spacing w:line="600" w:lineRule="exact"/>
        <w:ind w:firstLine="640"/>
        <w:rPr>
          <w:rFonts w:ascii="仿宋_GB2312"/>
          <w:szCs w:val="32"/>
        </w:rPr>
      </w:pPr>
      <w:r>
        <w:rPr>
          <w:rFonts w:ascii="仿宋_GB2312"/>
          <w:szCs w:val="32"/>
        </w:rPr>
        <w:t>20</w:t>
      </w:r>
      <w:r>
        <w:rPr>
          <w:rFonts w:hint="eastAsia" w:ascii="仿宋_GB2312"/>
          <w:szCs w:val="32"/>
        </w:rPr>
        <w:t>22年政府性基金预算财政拨款支出</w:t>
      </w:r>
      <w:r>
        <w:rPr>
          <w:rFonts w:ascii="仿宋_GB2312"/>
          <w:szCs w:val="32"/>
        </w:rPr>
        <w:t>34439.05</w:t>
      </w:r>
      <w:r>
        <w:rPr>
          <w:rFonts w:hint="eastAsia" w:ascii="仿宋_GB2312"/>
          <w:szCs w:val="32"/>
        </w:rPr>
        <w:t>万元。</w:t>
      </w:r>
    </w:p>
    <w:p>
      <w:pPr>
        <w:numPr>
          <w:ilvl w:val="0"/>
          <w:numId w:val="2"/>
        </w:numPr>
        <w:spacing w:line="600" w:lineRule="exact"/>
        <w:ind w:firstLine="640"/>
        <w:outlineLvl w:val="1"/>
        <w:rPr>
          <w:rStyle w:val="31"/>
          <w:rFonts w:ascii="黑体" w:hAnsi="黑体" w:eastAsia="黑体"/>
          <w:b w:val="0"/>
        </w:rPr>
      </w:pPr>
      <w:bookmarkStart w:id="72" w:name="_Toc15396611"/>
      <w:bookmarkStart w:id="73" w:name="_Toc147651417"/>
      <w:bookmarkStart w:id="74" w:name="_Toc15377219"/>
      <w:r>
        <w:rPr>
          <w:rStyle w:val="31"/>
          <w:rFonts w:hint="eastAsia" w:ascii="黑体" w:hAnsi="黑体" w:eastAsia="黑体"/>
          <w:b w:val="0"/>
        </w:rPr>
        <w:t>国有资本经营预算支出决算情况说明</w:t>
      </w:r>
      <w:bookmarkEnd w:id="72"/>
      <w:bookmarkEnd w:id="73"/>
      <w:bookmarkEnd w:id="74"/>
    </w:p>
    <w:p>
      <w:pPr>
        <w:spacing w:line="600" w:lineRule="exact"/>
        <w:ind w:firstLine="640"/>
        <w:rPr>
          <w:rFonts w:ascii="仿宋_GB2312"/>
          <w:szCs w:val="32"/>
        </w:rPr>
      </w:pPr>
      <w:r>
        <w:rPr>
          <w:rFonts w:ascii="仿宋_GB2312"/>
          <w:szCs w:val="32"/>
        </w:rPr>
        <w:t>20</w:t>
      </w:r>
      <w:r>
        <w:rPr>
          <w:rFonts w:hint="eastAsia" w:ascii="仿宋_GB2312"/>
          <w:szCs w:val="32"/>
        </w:rPr>
        <w:t>22年国有资本经营预算财政拨款支出</w:t>
      </w:r>
      <w:r>
        <w:rPr>
          <w:rFonts w:ascii="仿宋_GB2312"/>
          <w:szCs w:val="32"/>
        </w:rPr>
        <w:t>0</w:t>
      </w:r>
      <w:r>
        <w:rPr>
          <w:rFonts w:hint="eastAsia" w:ascii="仿宋_GB2312"/>
          <w:szCs w:val="32"/>
        </w:rPr>
        <w:t>万元。</w:t>
      </w:r>
    </w:p>
    <w:p>
      <w:pPr>
        <w:numPr>
          <w:ilvl w:val="0"/>
          <w:numId w:val="2"/>
        </w:numPr>
        <w:spacing w:line="600" w:lineRule="exact"/>
        <w:ind w:firstLine="640"/>
        <w:outlineLvl w:val="1"/>
        <w:rPr>
          <w:rStyle w:val="31"/>
          <w:rFonts w:ascii="黑体" w:hAnsi="黑体" w:eastAsia="黑体"/>
          <w:b w:val="0"/>
        </w:rPr>
      </w:pPr>
      <w:bookmarkStart w:id="75" w:name="_Toc15377221"/>
      <w:bookmarkStart w:id="76" w:name="_Toc147651418"/>
      <w:bookmarkStart w:id="77" w:name="_Toc15396612"/>
      <w:r>
        <w:rPr>
          <w:rStyle w:val="31"/>
          <w:rFonts w:hint="eastAsia" w:ascii="黑体" w:hAnsi="黑体" w:eastAsia="黑体"/>
          <w:b w:val="0"/>
        </w:rPr>
        <w:t>其他重要事项的情况说明</w:t>
      </w:r>
      <w:bookmarkEnd w:id="75"/>
      <w:bookmarkEnd w:id="76"/>
      <w:bookmarkEnd w:id="77"/>
    </w:p>
    <w:p>
      <w:pPr>
        <w:spacing w:line="600" w:lineRule="exact"/>
        <w:ind w:firstLine="642" w:firstLineChars="200"/>
        <w:outlineLvl w:val="2"/>
        <w:rPr>
          <w:rFonts w:ascii="仿宋_GB2312" w:hAnsi="仿宋"/>
          <w:szCs w:val="32"/>
        </w:rPr>
      </w:pPr>
      <w:bookmarkStart w:id="78" w:name="_Toc147651419"/>
      <w:bookmarkStart w:id="79" w:name="_Toc15377222"/>
      <w:r>
        <w:rPr>
          <w:rFonts w:hint="eastAsia" w:ascii="仿宋_GB2312" w:hAnsi="仿宋"/>
          <w:b/>
          <w:szCs w:val="32"/>
        </w:rPr>
        <w:t>（一）机关运行经费支出情况</w:t>
      </w:r>
      <w:bookmarkEnd w:id="78"/>
      <w:bookmarkEnd w:id="79"/>
    </w:p>
    <w:p>
      <w:pPr>
        <w:spacing w:line="600" w:lineRule="exact"/>
        <w:ind w:firstLine="640" w:firstLineChars="200"/>
        <w:rPr>
          <w:rFonts w:ascii="仿宋_GB2312"/>
          <w:szCs w:val="32"/>
        </w:rPr>
      </w:pPr>
      <w:r>
        <w:rPr>
          <w:rFonts w:hint="eastAsia" w:ascii="仿宋_GB2312"/>
          <w:szCs w:val="32"/>
        </w:rPr>
        <w:t>2022年，广元市政府国有资产监督管理委员会机关运行经费支出84.75万元，比2021年增加6.45万元，增长8.24%。主要原因是本年度重点工作增加。</w:t>
      </w:r>
    </w:p>
    <w:p>
      <w:pPr>
        <w:autoSpaceDE w:val="0"/>
        <w:autoSpaceDN w:val="0"/>
        <w:adjustRightInd w:val="0"/>
        <w:spacing w:line="600" w:lineRule="exact"/>
        <w:ind w:firstLine="642" w:firstLineChars="200"/>
        <w:jc w:val="left"/>
        <w:outlineLvl w:val="2"/>
        <w:rPr>
          <w:rFonts w:ascii="仿宋_GB2312" w:hAnsi="仿宋"/>
          <w:b/>
          <w:szCs w:val="32"/>
        </w:rPr>
      </w:pPr>
      <w:bookmarkStart w:id="80" w:name="_Toc15377223"/>
      <w:bookmarkStart w:id="81" w:name="_Toc147651420"/>
      <w:r>
        <w:rPr>
          <w:rFonts w:hint="eastAsia" w:ascii="仿宋_GB2312" w:hAnsi="仿宋"/>
          <w:b/>
          <w:szCs w:val="32"/>
        </w:rPr>
        <w:t>（二）政府采购支出情况</w:t>
      </w:r>
      <w:bookmarkEnd w:id="80"/>
      <w:bookmarkEnd w:id="81"/>
    </w:p>
    <w:p>
      <w:pPr>
        <w:spacing w:line="600" w:lineRule="exact"/>
        <w:ind w:firstLine="640" w:firstLineChars="200"/>
        <w:rPr>
          <w:rFonts w:ascii="仿宋_GB2312"/>
          <w:szCs w:val="32"/>
        </w:rPr>
      </w:pPr>
      <w:r>
        <w:rPr>
          <w:rFonts w:hint="eastAsia" w:ascii="仿宋_GB2312"/>
          <w:szCs w:val="32"/>
        </w:rPr>
        <w:t>2022年，广元市政府国有资产监督管理委员会政府采购支出总额3.16万元。其中：政府采购货物支出3.16万元，主要用于购买多功能一体机、文件柜等。授予中小企业合同金额3.16万元，占政府采购支出总额的100%，其中：授予小微企业合同金额3.16万元，占政府采购支出总额的100%。</w:t>
      </w:r>
    </w:p>
    <w:p>
      <w:pPr>
        <w:autoSpaceDE w:val="0"/>
        <w:autoSpaceDN w:val="0"/>
        <w:adjustRightInd w:val="0"/>
        <w:spacing w:line="600" w:lineRule="exact"/>
        <w:ind w:firstLine="642" w:firstLineChars="200"/>
        <w:jc w:val="left"/>
        <w:outlineLvl w:val="2"/>
        <w:rPr>
          <w:rFonts w:ascii="仿宋_GB2312" w:hAnsi="仿宋"/>
          <w:b/>
          <w:szCs w:val="32"/>
        </w:rPr>
      </w:pPr>
      <w:bookmarkStart w:id="82" w:name="_Toc15377224"/>
      <w:bookmarkStart w:id="83" w:name="_Toc147651421"/>
      <w:r>
        <w:rPr>
          <w:rFonts w:hint="eastAsia" w:ascii="仿宋_GB2312" w:hAnsi="仿宋"/>
          <w:b/>
          <w:szCs w:val="32"/>
        </w:rPr>
        <w:t>（三）国有资产占有使用情况</w:t>
      </w:r>
      <w:bookmarkEnd w:id="82"/>
      <w:bookmarkEnd w:id="83"/>
    </w:p>
    <w:p>
      <w:pPr>
        <w:autoSpaceDE w:val="0"/>
        <w:autoSpaceDN w:val="0"/>
        <w:adjustRightInd w:val="0"/>
        <w:spacing w:line="600" w:lineRule="exact"/>
        <w:ind w:firstLine="640" w:firstLineChars="200"/>
        <w:jc w:val="left"/>
        <w:rPr>
          <w:rFonts w:ascii="仿宋_GB2312"/>
          <w:szCs w:val="32"/>
        </w:rPr>
      </w:pPr>
      <w:r>
        <w:rPr>
          <w:rFonts w:hint="eastAsia" w:ascii="仿宋_GB2312"/>
          <w:szCs w:val="32"/>
        </w:rPr>
        <w:t>截至2022年12月31日，广元市政府国有资产监督管理委员会共有车辆1辆，其中：机要通信用车1辆，主要是用于单位日常出行。单价100万元以上专用设备0台（套）。</w:t>
      </w:r>
    </w:p>
    <w:p>
      <w:pPr>
        <w:autoSpaceDE w:val="0"/>
        <w:autoSpaceDN w:val="0"/>
        <w:adjustRightInd w:val="0"/>
        <w:spacing w:line="600" w:lineRule="exact"/>
        <w:ind w:firstLine="642" w:firstLineChars="200"/>
        <w:jc w:val="left"/>
        <w:outlineLvl w:val="2"/>
        <w:rPr>
          <w:rFonts w:ascii="仿宋_GB2312" w:hAnsi="仿宋"/>
          <w:b/>
          <w:szCs w:val="32"/>
        </w:rPr>
      </w:pPr>
      <w:bookmarkStart w:id="84" w:name="_Toc147651422"/>
      <w:r>
        <w:rPr>
          <w:rFonts w:hint="eastAsia" w:ascii="仿宋_GB2312" w:hAnsi="仿宋"/>
          <w:b/>
          <w:szCs w:val="32"/>
        </w:rPr>
        <w:t>（四）预算绩效管理情况</w:t>
      </w:r>
      <w:bookmarkEnd w:id="84"/>
    </w:p>
    <w:p>
      <w:pPr>
        <w:widowControl/>
        <w:ind w:firstLine="640" w:firstLineChars="200"/>
        <w:rPr>
          <w:rFonts w:ascii="仿宋_GB2312" w:hAnsi="仿宋_GB2312" w:cs="仿宋_GB2312"/>
          <w:szCs w:val="32"/>
        </w:rPr>
      </w:pPr>
      <w:r>
        <w:rPr>
          <w:rFonts w:hint="eastAsia" w:ascii="仿宋_GB2312" w:hAnsi="仿宋_GB2312" w:cs="仿宋_GB2312"/>
          <w:szCs w:val="32"/>
        </w:rPr>
        <w:t>根据预算绩效管理要求，本单位在2022年度预算编制阶段，组织对办公设备购买项目（项目名称）等22个项目开展了预算事前绩效评估，对22个项目编制了绩效目标，预算执行过程中，选取22个项目开展绩效监控，绩效自评表详见</w:t>
      </w:r>
      <w:r>
        <w:rPr>
          <w:rFonts w:hint="eastAsia" w:hAnsi="仿宋_GB2312" w:cs="仿宋_GB2312"/>
          <w:szCs w:val="32"/>
        </w:rPr>
        <w:t>第四部分</w:t>
      </w:r>
      <w:r>
        <w:rPr>
          <w:rFonts w:hint="eastAsia" w:ascii="仿宋_GB2312" w:hAnsi="仿宋_GB2312" w:cs="仿宋_GB2312"/>
          <w:szCs w:val="32"/>
        </w:rPr>
        <w:t>附件。</w:t>
      </w:r>
    </w:p>
    <w:p>
      <w:pPr>
        <w:widowControl/>
        <w:ind w:firstLine="640" w:firstLineChars="200"/>
        <w:rPr>
          <w:rFonts w:ascii="仿宋_GB2312" w:hAnsi="仿宋_GB2312" w:cs="仿宋_GB2312"/>
          <w:szCs w:val="32"/>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pStyle w:val="2"/>
        <w:spacing w:before="93"/>
        <w:rPr>
          <w:highlight w:val="yellow"/>
        </w:rPr>
      </w:pPr>
    </w:p>
    <w:p>
      <w:pPr>
        <w:numPr>
          <w:ilvl w:val="0"/>
          <w:numId w:val="3"/>
        </w:numPr>
        <w:spacing w:line="600" w:lineRule="exact"/>
        <w:ind w:firstLine="660" w:firstLineChars="150"/>
        <w:jc w:val="center"/>
        <w:outlineLvl w:val="0"/>
        <w:rPr>
          <w:rStyle w:val="30"/>
          <w:rFonts w:ascii="黑体" w:hAnsi="黑体" w:eastAsia="黑体"/>
          <w:b w:val="0"/>
        </w:rPr>
      </w:pPr>
      <w:bookmarkStart w:id="85" w:name="_Toc147651423"/>
      <w:bookmarkStart w:id="86" w:name="_Toc15396613"/>
      <w:bookmarkStart w:id="87" w:name="_Toc15377225"/>
      <w:r>
        <w:rPr>
          <w:rFonts w:hint="eastAsia" w:ascii="黑体" w:hAnsi="黑体" w:eastAsia="黑体"/>
          <w:sz w:val="44"/>
          <w:szCs w:val="44"/>
        </w:rPr>
        <w:t>名</w:t>
      </w:r>
      <w:r>
        <w:rPr>
          <w:rStyle w:val="30"/>
          <w:rFonts w:hint="eastAsia" w:ascii="黑体" w:hAnsi="黑体" w:eastAsia="黑体"/>
          <w:b w:val="0"/>
        </w:rPr>
        <w:t>词解释</w:t>
      </w:r>
      <w:bookmarkEnd w:id="85"/>
      <w:bookmarkEnd w:id="86"/>
      <w:bookmarkEnd w:id="87"/>
    </w:p>
    <w:p>
      <w:pPr>
        <w:spacing w:line="600" w:lineRule="exact"/>
        <w:jc w:val="left"/>
        <w:rPr>
          <w:rFonts w:ascii="宋体"/>
          <w:b/>
          <w:sz w:val="44"/>
          <w:szCs w:val="44"/>
        </w:rPr>
      </w:pPr>
    </w:p>
    <w:p>
      <w:pPr>
        <w:ind w:firstLine="640" w:firstLineChars="200"/>
        <w:rPr>
          <w:rFonts w:ascii="仿宋_GB2312"/>
          <w:szCs w:val="32"/>
        </w:rPr>
      </w:pPr>
      <w:r>
        <w:rPr>
          <w:rFonts w:hint="eastAsia" w:ascii="仿宋_GB2312"/>
          <w:szCs w:val="32"/>
        </w:rPr>
        <w:t>1.财政拨款收入：指单位从同级财政部门取得的财政预算资金。</w:t>
      </w:r>
    </w:p>
    <w:p>
      <w:pPr>
        <w:ind w:firstLine="640" w:firstLineChars="200"/>
        <w:rPr>
          <w:rFonts w:ascii="仿宋_GB2312"/>
          <w:szCs w:val="32"/>
        </w:rPr>
      </w:pPr>
      <w:r>
        <w:rPr>
          <w:rFonts w:hint="eastAsia" w:ascii="仿宋_GB2312"/>
          <w:szCs w:val="32"/>
        </w:rPr>
        <w:t>2.其他收入：指单位取得的除上述收入以外的各项收入。主要是利息收入等。</w:t>
      </w:r>
    </w:p>
    <w:p>
      <w:pPr>
        <w:ind w:firstLine="640" w:firstLineChars="200"/>
        <w:rPr>
          <w:rFonts w:ascii="仿宋_GB2312"/>
          <w:szCs w:val="32"/>
        </w:rPr>
      </w:pPr>
      <w:r>
        <w:rPr>
          <w:rFonts w:hint="eastAsia" w:ascii="仿宋_GB2312"/>
          <w:szCs w:val="32"/>
        </w:rPr>
        <w:t xml:space="preserve">3.年初结转和结余：指以前年度尚未完成、结转到本年按有关规定继续使用的资金。 </w:t>
      </w:r>
    </w:p>
    <w:p>
      <w:pPr>
        <w:ind w:firstLine="640" w:firstLineChars="200"/>
        <w:rPr>
          <w:rFonts w:ascii="仿宋_GB2312"/>
          <w:szCs w:val="32"/>
        </w:rPr>
      </w:pPr>
      <w:r>
        <w:rPr>
          <w:rFonts w:hint="eastAsia" w:ascii="仿宋_GB2312"/>
          <w:szCs w:val="32"/>
        </w:rPr>
        <w:t>4.年末结转和结余：指单位按有关规定结转到下年或以后年度继续使用的资金。</w:t>
      </w:r>
    </w:p>
    <w:p>
      <w:pPr>
        <w:ind w:firstLine="640" w:firstLineChars="200"/>
        <w:rPr>
          <w:rFonts w:ascii="仿宋_GB2312"/>
          <w:szCs w:val="32"/>
        </w:rPr>
      </w:pPr>
      <w:r>
        <w:rPr>
          <w:rFonts w:hint="eastAsia" w:ascii="仿宋_GB2312"/>
          <w:szCs w:val="32"/>
        </w:rPr>
        <w:t xml:space="preserve">5.文化旅游体育与传媒（类）文化和旅游（款）其他文化和旅游支出（项）：反映上述项目以外其他用于文化和旅游的支出。 </w:t>
      </w:r>
    </w:p>
    <w:p>
      <w:pPr>
        <w:ind w:firstLine="640" w:firstLineChars="200"/>
        <w:rPr>
          <w:rFonts w:ascii="仿宋_GB2312"/>
          <w:szCs w:val="32"/>
        </w:rPr>
      </w:pPr>
      <w:r>
        <w:rPr>
          <w:rFonts w:hint="eastAsia" w:ascii="仿宋_GB2312"/>
          <w:szCs w:val="32"/>
        </w:rPr>
        <w:t>6.社会保障和就业（类）人力资源和社会保障管理事务（款）引进人才费用（项）：反映用于引进外国专家补助、引智成果推广等方面的支出。</w:t>
      </w:r>
    </w:p>
    <w:p>
      <w:pPr>
        <w:ind w:firstLine="640" w:firstLineChars="200"/>
        <w:rPr>
          <w:rFonts w:ascii="仿宋_GB2312"/>
          <w:szCs w:val="32"/>
        </w:rPr>
      </w:pPr>
      <w:r>
        <w:rPr>
          <w:rFonts w:hint="eastAsia" w:ascii="仿宋_GB2312"/>
          <w:szCs w:val="32"/>
        </w:rPr>
        <w:t>7.社会保障和就业（类）行政事业单位养老支出（款）机关事业单位基本养老保险缴费支出（项）：反映机关事业单位实施养老保险制度由单位缴纳的基本养老保险费支出。</w:t>
      </w:r>
    </w:p>
    <w:p>
      <w:pPr>
        <w:ind w:firstLine="640" w:firstLineChars="200"/>
        <w:rPr>
          <w:rFonts w:ascii="仿宋_GB2312"/>
          <w:szCs w:val="32"/>
        </w:rPr>
      </w:pPr>
      <w:r>
        <w:rPr>
          <w:rFonts w:hint="eastAsia" w:ascii="仿宋_GB2312"/>
          <w:szCs w:val="32"/>
        </w:rPr>
        <w:t>8.社会保障和就业（类）行政事业单位养老支出（款）机关事业单位职业年金缴费支出（项）：反映机关事业单位实施养老保险制度由单位缴纳的职业年金支出。</w:t>
      </w:r>
    </w:p>
    <w:p>
      <w:pPr>
        <w:ind w:firstLine="640" w:firstLineChars="200"/>
        <w:rPr>
          <w:rFonts w:ascii="仿宋_GB2312"/>
          <w:szCs w:val="32"/>
        </w:rPr>
      </w:pPr>
      <w:r>
        <w:rPr>
          <w:rFonts w:hint="eastAsia" w:ascii="仿宋_GB2312"/>
          <w:szCs w:val="32"/>
        </w:rPr>
        <w:t>9.社会保障和就业（类）其他社会保障和就业支出（款）其他社会保障和就业支出（项）：反映除上述项目以外其他用于社会保障和就业方面的支出。</w:t>
      </w:r>
    </w:p>
    <w:p>
      <w:pPr>
        <w:ind w:firstLine="640" w:firstLineChars="200"/>
        <w:rPr>
          <w:rFonts w:ascii="仿宋_GB2312"/>
          <w:szCs w:val="32"/>
        </w:rPr>
      </w:pPr>
      <w:r>
        <w:rPr>
          <w:rFonts w:hint="eastAsia" w:ascii="仿宋_GB2312"/>
          <w:szCs w:val="32"/>
        </w:rPr>
        <w:t>10.卫生健康（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ind w:firstLine="640" w:firstLineChars="200"/>
        <w:rPr>
          <w:rFonts w:ascii="仿宋_GB2312"/>
          <w:szCs w:val="32"/>
        </w:rPr>
      </w:pPr>
      <w:r>
        <w:rPr>
          <w:rFonts w:hint="eastAsia" w:ascii="仿宋_GB2312"/>
          <w:szCs w:val="32"/>
        </w:rPr>
        <w:t>11.城乡社区（类）国有土地使用权出让收入安排的支出（款）征地和拆迁补偿支出（项）：反映从国有土地收益基金中安排用于收购储备土地需要支付的土地补偿费、安置补助费、地上附着和青苗补偿费、拆迁补偿费支出。</w:t>
      </w:r>
    </w:p>
    <w:p>
      <w:pPr>
        <w:ind w:firstLine="640" w:firstLineChars="200"/>
        <w:rPr>
          <w:rFonts w:ascii="仿宋_GB2312"/>
          <w:szCs w:val="32"/>
        </w:rPr>
      </w:pPr>
      <w:r>
        <w:rPr>
          <w:rFonts w:hint="eastAsia" w:ascii="仿宋_GB2312"/>
          <w:szCs w:val="32"/>
        </w:rPr>
        <w:t>12.城乡社区（类）国有土地使用权出让收入安排的支出（款）城市建设支出（项）：反映土地出让收入用于完善国有土地使用功能的配套设施建设和城市基础设施建设支出。</w:t>
      </w:r>
    </w:p>
    <w:p>
      <w:pPr>
        <w:ind w:firstLine="640" w:firstLineChars="200"/>
        <w:rPr>
          <w:rFonts w:ascii="仿宋_GB2312"/>
          <w:szCs w:val="32"/>
        </w:rPr>
      </w:pPr>
      <w:r>
        <w:rPr>
          <w:rFonts w:hint="eastAsia" w:ascii="仿宋_GB2312"/>
          <w:szCs w:val="32"/>
        </w:rPr>
        <w:t xml:space="preserve">13.城乡社区（类）国有土地使用权出让收入安排的支出（款）农村基础设施建设支出（项）：反映土地出让收入用于农村供水保障、村庄公共设施和管护以及与农业农村直接相关的以工代赈等方面的支出。 </w:t>
      </w:r>
    </w:p>
    <w:p>
      <w:pPr>
        <w:ind w:firstLine="640" w:firstLineChars="200"/>
        <w:rPr>
          <w:rFonts w:ascii="仿宋_GB2312"/>
          <w:szCs w:val="32"/>
        </w:rPr>
      </w:pPr>
      <w:r>
        <w:rPr>
          <w:rFonts w:hint="eastAsia" w:ascii="仿宋_GB2312"/>
          <w:szCs w:val="32"/>
        </w:rPr>
        <w:t>14.城乡社区（类）国有土地使用权出让收入安排的支出（款）其他国有土地使用权出让收入安排的支出（项）： 反映土地出让收入用于其他方面的支出。不包括市县级政府当年按规定用土地出让收入向中央和省级政府缴纳的新增建设用地有偿使用费的支出。</w:t>
      </w:r>
    </w:p>
    <w:p>
      <w:pPr>
        <w:ind w:firstLine="640" w:firstLineChars="200"/>
        <w:rPr>
          <w:rFonts w:ascii="仿宋_GB2312"/>
          <w:szCs w:val="32"/>
        </w:rPr>
      </w:pPr>
      <w:bookmarkStart w:id="88" w:name="_Hlk146702088"/>
      <w:r>
        <w:rPr>
          <w:rFonts w:hint="eastAsia" w:ascii="仿宋_GB2312"/>
          <w:szCs w:val="32"/>
        </w:rPr>
        <w:t>15.城乡社区（类）城市基础设施配套费安排的支出（款）城市公共设施（项）：反映城市基础设施配套费安排用于城市道路、桥涵、公共交通、道路照明、供排水、燃气、供热等公共设施维护、建设和管理方面的支出。</w:t>
      </w:r>
    </w:p>
    <w:bookmarkEnd w:id="88"/>
    <w:p>
      <w:pPr>
        <w:ind w:firstLine="640" w:firstLineChars="200"/>
        <w:rPr>
          <w:rFonts w:ascii="仿宋_GB2312"/>
          <w:szCs w:val="32"/>
        </w:rPr>
      </w:pPr>
      <w:r>
        <w:rPr>
          <w:rFonts w:hint="eastAsia" w:ascii="仿宋_GB2312"/>
          <w:szCs w:val="32"/>
        </w:rPr>
        <w:t>16.城乡社区（类）城市基础设施配套费安排的支出（款）城市环境卫生（项）：反映城市基础设施配套费安排用于道路清扫、垃圾清运与处理、污水处理、园林绿化等收入。</w:t>
      </w:r>
    </w:p>
    <w:p>
      <w:pPr>
        <w:ind w:firstLine="640" w:firstLineChars="200"/>
        <w:rPr>
          <w:rFonts w:ascii="仿宋_GB2312"/>
          <w:szCs w:val="32"/>
        </w:rPr>
      </w:pPr>
      <w:r>
        <w:rPr>
          <w:rFonts w:hint="eastAsia" w:ascii="仿宋_GB2312"/>
          <w:szCs w:val="32"/>
        </w:rPr>
        <w:t>17.城乡社区（类）其他城乡社区支出（款）其他城乡社区支出（项）：反映除上述项目以外其他用于城乡社区方面的支出。</w:t>
      </w:r>
    </w:p>
    <w:p>
      <w:pPr>
        <w:ind w:firstLine="640" w:firstLineChars="200"/>
        <w:rPr>
          <w:rFonts w:ascii="仿宋_GB2312"/>
          <w:szCs w:val="32"/>
        </w:rPr>
      </w:pPr>
      <w:r>
        <w:rPr>
          <w:rFonts w:hint="eastAsia" w:ascii="仿宋_GB2312"/>
          <w:szCs w:val="32"/>
        </w:rPr>
        <w:t>18.资源勘探工业信息等（类）国有资产监管（款）行政运行（项）：指行政单位（包括实行公务员管理的事业单位）的基本支出。</w:t>
      </w:r>
    </w:p>
    <w:p>
      <w:pPr>
        <w:ind w:firstLine="640" w:firstLineChars="200"/>
        <w:rPr>
          <w:rFonts w:ascii="仿宋_GB2312"/>
          <w:szCs w:val="32"/>
        </w:rPr>
      </w:pPr>
      <w:r>
        <w:rPr>
          <w:rFonts w:hint="eastAsia" w:ascii="仿宋_GB2312"/>
          <w:szCs w:val="32"/>
        </w:rPr>
        <w:t>19.资源勘探工业信息等（类）国有资产监管（款）一般行政管理事务（项）：指行政单位（包括实行公务员管理的事业单位）未单独设置项级科目的其他项目支出。</w:t>
      </w:r>
    </w:p>
    <w:p>
      <w:pPr>
        <w:ind w:firstLine="640" w:firstLineChars="200"/>
        <w:rPr>
          <w:rFonts w:ascii="仿宋_GB2312"/>
          <w:szCs w:val="32"/>
        </w:rPr>
      </w:pPr>
      <w:r>
        <w:rPr>
          <w:rFonts w:hint="eastAsia" w:ascii="仿宋_GB2312"/>
          <w:szCs w:val="32"/>
        </w:rPr>
        <w:t>20.住房保障（类）住房改革支出（款）住房公积金（项）：指行政事业单位按人力资源和社会保障部、财政部规定的基本工资和津贴补贴以及规定比例为职工缴纳的住房公积金。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szCs w:val="32"/>
        </w:rPr>
      </w:pPr>
      <w:r>
        <w:rPr>
          <w:rFonts w:hint="eastAsia" w:ascii="仿宋_GB2312"/>
          <w:szCs w:val="32"/>
        </w:rPr>
        <w:t>21.基本支出：指为保障机构正常运转、完成日常工作任务而发生的人员支出和公用支出。</w:t>
      </w:r>
    </w:p>
    <w:p>
      <w:pPr>
        <w:ind w:firstLine="640" w:firstLineChars="200"/>
        <w:rPr>
          <w:rFonts w:ascii="仿宋_GB2312"/>
          <w:szCs w:val="32"/>
        </w:rPr>
      </w:pPr>
      <w:r>
        <w:rPr>
          <w:rFonts w:hint="eastAsia" w:ascii="仿宋_GB2312"/>
          <w:szCs w:val="32"/>
        </w:rPr>
        <w:t xml:space="preserve">22.项目支出：指在基本支出之外为完成特定行政任务和事业发展目标所发生的支出。 </w:t>
      </w:r>
    </w:p>
    <w:p>
      <w:pPr>
        <w:ind w:firstLine="640" w:firstLineChars="200"/>
        <w:rPr>
          <w:rFonts w:ascii="仿宋_GB2312"/>
          <w:szCs w:val="32"/>
        </w:rPr>
      </w:pPr>
      <w:r>
        <w:rPr>
          <w:rFonts w:hint="eastAsia" w:ascii="仿宋_GB2312"/>
          <w:szCs w:val="32"/>
        </w:rPr>
        <w:t>23.“三公”经费：指部门用财政拨款安排的公务用车购置及运行费和公务接待费。其中，公务用车购置及运行费反映单位公务用车车辆购置支出（含车辆购置税）及租用费、燃料费、维修费、过路过桥费、保险费等支出；公务接待费反映单位按规定开支的各类公务接待（含外宾接待）支出。</w:t>
      </w:r>
    </w:p>
    <w:p>
      <w:pPr>
        <w:ind w:firstLine="640" w:firstLineChars="200"/>
        <w:rPr>
          <w:rFonts w:ascii="仿宋_GB2312"/>
          <w:szCs w:val="32"/>
        </w:rPr>
      </w:pPr>
      <w:r>
        <w:rPr>
          <w:rFonts w:hint="eastAsia" w:ascii="仿宋_GB2312"/>
          <w:szCs w:val="32"/>
        </w:rPr>
        <w:t>24.机关运行经费：为保障行政单位（含参照公务员法管理的事业单位）运行用于购买货物和服务的各项资金，包括办公费、印刷费、咨询费、邮电费、差旅费、会议费、福利费、日常维修费、水电费、办公用房物业管理费、公务用车运行维护费以及其他费用。</w:t>
      </w:r>
    </w:p>
    <w:p>
      <w:pPr>
        <w:rPr>
          <w:rFonts w:ascii="仿宋_GB2312" w:cs="黑体"/>
          <w:szCs w:val="32"/>
        </w:rPr>
      </w:pPr>
    </w:p>
    <w:p>
      <w:pPr>
        <w:jc w:val="center"/>
        <w:rPr>
          <w:rStyle w:val="30"/>
          <w:rFonts w:ascii="黑体" w:hAnsi="黑体" w:eastAsia="黑体"/>
          <w:b w:val="0"/>
        </w:rPr>
      </w:pPr>
      <w:bookmarkStart w:id="89" w:name="_Toc15377226"/>
      <w:r>
        <w:rPr>
          <w:rFonts w:hint="eastAsia" w:ascii="仿宋_GB2312"/>
          <w:b/>
          <w:szCs w:val="32"/>
        </w:rPr>
        <w:br w:type="page"/>
      </w:r>
      <w:bookmarkStart w:id="90" w:name="_Toc15396614"/>
      <w:r>
        <w:rPr>
          <w:rFonts w:hint="eastAsia" w:ascii="黑体" w:hAnsi="黑体" w:eastAsia="黑体"/>
          <w:sz w:val="44"/>
          <w:szCs w:val="44"/>
        </w:rPr>
        <w:t>第</w:t>
      </w:r>
      <w:r>
        <w:rPr>
          <w:rStyle w:val="30"/>
          <w:rFonts w:hint="eastAsia" w:ascii="黑体" w:hAnsi="黑体" w:eastAsia="黑体"/>
          <w:b w:val="0"/>
        </w:rPr>
        <w:t>四部分 附件</w:t>
      </w:r>
      <w:bookmarkEnd w:id="90"/>
    </w:p>
    <w:p>
      <w:pPr>
        <w:spacing w:line="572" w:lineRule="exact"/>
        <w:jc w:val="left"/>
        <w:outlineLvl w:val="0"/>
        <w:rPr>
          <w:rFonts w:ascii="方正小标宋简体" w:hAnsi="方正小标宋简体" w:eastAsia="方正小标宋简体" w:cs="方正小标宋简体"/>
          <w:sz w:val="44"/>
          <w:szCs w:val="44"/>
        </w:rPr>
      </w:pPr>
      <w:bookmarkStart w:id="91" w:name="_Toc147651424"/>
      <w:r>
        <w:rPr>
          <w:rFonts w:hint="eastAsia" w:ascii="黑体" w:hAnsi="黑体" w:eastAsia="黑体" w:cs="黑体"/>
          <w:szCs w:val="32"/>
        </w:rPr>
        <w:t>附件</w:t>
      </w:r>
      <w:bookmarkEnd w:id="91"/>
    </w:p>
    <w:p>
      <w:pPr>
        <w:spacing w:line="600" w:lineRule="exact"/>
        <w:jc w:val="center"/>
        <w:outlineLvl w:val="0"/>
        <w:rPr>
          <w:rFonts w:hint="eastAsia" w:ascii="仿宋_GB2312" w:hAnsi="宋体" w:cs="宋体"/>
          <w:kern w:val="0"/>
          <w:szCs w:val="32"/>
        </w:rPr>
      </w:pPr>
      <w:bookmarkStart w:id="92" w:name="_Toc147651425"/>
      <w:r>
        <w:rPr>
          <w:rFonts w:hint="eastAsia" w:ascii="仿宋_GB2312" w:hAnsi="宋体" w:cs="宋体"/>
          <w:kern w:val="0"/>
          <w:szCs w:val="32"/>
        </w:rPr>
        <w:t>部门预算项目支出绩效自评表（2022年度）</w:t>
      </w:r>
      <w:bookmarkEnd w:id="92"/>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pStyle w:val="15"/>
        <w:spacing w:line="560" w:lineRule="exact"/>
        <w:ind w:left="0" w:leftChars="0" w:firstLine="640"/>
        <w:rPr>
          <w:rFonts w:hAnsi="仿宋_GB2312" w:cs="仿宋_GB2312"/>
        </w:rPr>
      </w:pPr>
    </w:p>
    <w:p>
      <w:pPr>
        <w:spacing w:line="600" w:lineRule="exact"/>
        <w:jc w:val="center"/>
        <w:outlineLvl w:val="0"/>
        <w:rPr>
          <w:rFonts w:ascii="仿宋" w:hAnsi="仿宋" w:eastAsia="仿宋"/>
        </w:rPr>
      </w:pPr>
      <w:bookmarkStart w:id="93" w:name="_Toc147651426"/>
      <w:bookmarkStart w:id="94" w:name="_Toc15396618"/>
      <w:r>
        <w:rPr>
          <w:rFonts w:hint="eastAsia" w:ascii="黑体" w:hAnsi="黑体" w:eastAsia="黑体"/>
          <w:sz w:val="44"/>
          <w:szCs w:val="44"/>
        </w:rPr>
        <w:t>第</w:t>
      </w:r>
      <w:r>
        <w:rPr>
          <w:rStyle w:val="30"/>
          <w:rFonts w:hint="eastAsia" w:ascii="黑体" w:hAnsi="黑体" w:eastAsia="黑体"/>
          <w:b w:val="0"/>
        </w:rPr>
        <w:t>五部分 附表</w:t>
      </w:r>
      <w:bookmarkEnd w:id="89"/>
      <w:bookmarkEnd w:id="93"/>
      <w:bookmarkEnd w:id="94"/>
      <w:bookmarkStart w:id="95" w:name="_Toc15396619"/>
    </w:p>
    <w:bookmarkEnd w:id="95"/>
    <w:p>
      <w:pPr>
        <w:pStyle w:val="4"/>
        <w:rPr>
          <w:rFonts w:ascii="仿宋" w:hAnsi="仿宋" w:eastAsia="仿宋"/>
          <w:b w:val="0"/>
        </w:rPr>
      </w:pPr>
      <w:bookmarkStart w:id="96" w:name="_Toc147651427"/>
      <w:r>
        <w:rPr>
          <w:rFonts w:hint="eastAsia" w:ascii="仿宋" w:hAnsi="仿宋" w:eastAsia="仿宋"/>
          <w:b w:val="0"/>
        </w:rPr>
        <w:t>一、收入支出决算总表</w:t>
      </w:r>
      <w:bookmarkEnd w:id="96"/>
    </w:p>
    <w:p>
      <w:pPr>
        <w:pStyle w:val="4"/>
        <w:rPr>
          <w:rFonts w:ascii="仿宋" w:hAnsi="仿宋" w:eastAsia="仿宋"/>
          <w:b w:val="0"/>
        </w:rPr>
      </w:pPr>
      <w:bookmarkStart w:id="97" w:name="_Toc147651428"/>
      <w:r>
        <w:rPr>
          <w:rFonts w:hint="eastAsia" w:ascii="仿宋" w:hAnsi="仿宋" w:eastAsia="仿宋"/>
          <w:b w:val="0"/>
        </w:rPr>
        <w:t>二、收入决算表</w:t>
      </w:r>
      <w:bookmarkEnd w:id="97"/>
    </w:p>
    <w:p>
      <w:pPr>
        <w:pStyle w:val="4"/>
        <w:rPr>
          <w:rFonts w:ascii="仿宋" w:hAnsi="仿宋" w:eastAsia="仿宋"/>
          <w:b w:val="0"/>
        </w:rPr>
      </w:pPr>
      <w:bookmarkStart w:id="98" w:name="_Toc147651429"/>
      <w:r>
        <w:rPr>
          <w:rFonts w:hint="eastAsia" w:ascii="仿宋" w:hAnsi="仿宋" w:eastAsia="仿宋"/>
          <w:b w:val="0"/>
        </w:rPr>
        <w:t>三、支出决算表</w:t>
      </w:r>
      <w:bookmarkEnd w:id="98"/>
    </w:p>
    <w:p>
      <w:pPr>
        <w:pStyle w:val="4"/>
        <w:rPr>
          <w:rFonts w:ascii="仿宋" w:hAnsi="仿宋" w:eastAsia="仿宋"/>
          <w:b w:val="0"/>
        </w:rPr>
      </w:pPr>
      <w:bookmarkStart w:id="99" w:name="_Toc147651430"/>
      <w:r>
        <w:rPr>
          <w:rFonts w:hint="eastAsia" w:ascii="仿宋" w:hAnsi="仿宋" w:eastAsia="仿宋"/>
          <w:b w:val="0"/>
        </w:rPr>
        <w:t>四、财政拨款收入支出决算总表</w:t>
      </w:r>
      <w:bookmarkEnd w:id="99"/>
    </w:p>
    <w:p>
      <w:pPr>
        <w:pStyle w:val="4"/>
        <w:rPr>
          <w:rFonts w:ascii="仿宋" w:hAnsi="仿宋" w:eastAsia="仿宋"/>
          <w:b w:val="0"/>
        </w:rPr>
      </w:pPr>
      <w:bookmarkStart w:id="100" w:name="_Toc147651431"/>
      <w:r>
        <w:rPr>
          <w:rFonts w:hint="eastAsia" w:ascii="仿宋" w:hAnsi="仿宋" w:eastAsia="仿宋"/>
          <w:b w:val="0"/>
        </w:rPr>
        <w:t>五、财政拨款支出决算明细表</w:t>
      </w:r>
      <w:bookmarkEnd w:id="100"/>
    </w:p>
    <w:p>
      <w:pPr>
        <w:pStyle w:val="4"/>
        <w:rPr>
          <w:rFonts w:ascii="仿宋" w:hAnsi="仿宋" w:eastAsia="仿宋"/>
          <w:b w:val="0"/>
        </w:rPr>
      </w:pPr>
      <w:bookmarkStart w:id="101" w:name="_Toc147651432"/>
      <w:r>
        <w:rPr>
          <w:rFonts w:hint="eastAsia" w:ascii="仿宋" w:hAnsi="仿宋" w:eastAsia="仿宋"/>
          <w:b w:val="0"/>
        </w:rPr>
        <w:t>六、一般公共预算财政拨款支出决算表</w:t>
      </w:r>
      <w:bookmarkEnd w:id="101"/>
    </w:p>
    <w:p>
      <w:pPr>
        <w:pStyle w:val="4"/>
        <w:rPr>
          <w:rFonts w:ascii="仿宋" w:hAnsi="仿宋" w:eastAsia="仿宋"/>
          <w:b w:val="0"/>
        </w:rPr>
      </w:pPr>
      <w:bookmarkStart w:id="102" w:name="_Toc147651433"/>
      <w:r>
        <w:rPr>
          <w:rFonts w:hint="eastAsia" w:ascii="仿宋" w:hAnsi="仿宋" w:eastAsia="仿宋"/>
          <w:b w:val="0"/>
        </w:rPr>
        <w:t>七、一般公共预算财政拨款支出决算明细表</w:t>
      </w:r>
      <w:bookmarkEnd w:id="102"/>
    </w:p>
    <w:p>
      <w:pPr>
        <w:pStyle w:val="4"/>
        <w:rPr>
          <w:rFonts w:ascii="仿宋" w:hAnsi="仿宋" w:eastAsia="仿宋"/>
          <w:b w:val="0"/>
        </w:rPr>
      </w:pPr>
      <w:bookmarkStart w:id="103" w:name="_Toc147651434"/>
      <w:r>
        <w:rPr>
          <w:rFonts w:hint="eastAsia" w:ascii="仿宋" w:hAnsi="仿宋" w:eastAsia="仿宋"/>
          <w:b w:val="0"/>
        </w:rPr>
        <w:t>八、一般公共预算财政拨款基本支出决算表</w:t>
      </w:r>
      <w:bookmarkEnd w:id="103"/>
    </w:p>
    <w:p>
      <w:pPr>
        <w:pStyle w:val="4"/>
        <w:rPr>
          <w:rFonts w:ascii="仿宋" w:hAnsi="仿宋" w:eastAsia="仿宋"/>
          <w:b w:val="0"/>
        </w:rPr>
      </w:pPr>
      <w:bookmarkStart w:id="104" w:name="_Toc147651435"/>
      <w:r>
        <w:rPr>
          <w:rFonts w:hint="eastAsia" w:ascii="仿宋" w:hAnsi="仿宋" w:eastAsia="仿宋"/>
          <w:b w:val="0"/>
        </w:rPr>
        <w:t>九、一般公共预算财政拨款项目支出决算表</w:t>
      </w:r>
      <w:bookmarkEnd w:id="104"/>
    </w:p>
    <w:p>
      <w:pPr>
        <w:pStyle w:val="4"/>
        <w:rPr>
          <w:rFonts w:ascii="仿宋" w:hAnsi="仿宋" w:eastAsia="仿宋"/>
          <w:b w:val="0"/>
        </w:rPr>
      </w:pPr>
      <w:bookmarkStart w:id="105" w:name="_Toc147651436"/>
      <w:r>
        <w:rPr>
          <w:rFonts w:hint="eastAsia" w:ascii="仿宋" w:hAnsi="仿宋" w:eastAsia="仿宋"/>
          <w:b w:val="0"/>
        </w:rPr>
        <w:t>十、政府性基金预算财政拨款收入支出决算表</w:t>
      </w:r>
      <w:bookmarkEnd w:id="105"/>
    </w:p>
    <w:p>
      <w:pPr>
        <w:pStyle w:val="4"/>
        <w:rPr>
          <w:rFonts w:ascii="仿宋" w:hAnsi="仿宋" w:eastAsia="仿宋"/>
          <w:b w:val="0"/>
        </w:rPr>
      </w:pPr>
      <w:bookmarkStart w:id="106" w:name="_Toc147651437"/>
      <w:r>
        <w:rPr>
          <w:rFonts w:hint="eastAsia" w:ascii="仿宋" w:hAnsi="仿宋" w:eastAsia="仿宋"/>
          <w:b w:val="0"/>
        </w:rPr>
        <w:t>十一、国有资本经营预算财政拨款收入支出决算表</w:t>
      </w:r>
      <w:bookmarkEnd w:id="106"/>
    </w:p>
    <w:p>
      <w:pPr>
        <w:pStyle w:val="4"/>
        <w:rPr>
          <w:rFonts w:ascii="仿宋" w:hAnsi="仿宋" w:eastAsia="仿宋"/>
          <w:b w:val="0"/>
        </w:rPr>
      </w:pPr>
      <w:bookmarkStart w:id="107" w:name="_Toc147651438"/>
      <w:r>
        <w:rPr>
          <w:rFonts w:hint="eastAsia" w:ascii="仿宋" w:hAnsi="仿宋" w:eastAsia="仿宋"/>
          <w:b w:val="0"/>
        </w:rPr>
        <w:t>十二、国有资本经营预算财政拨款支出决算表</w:t>
      </w:r>
      <w:bookmarkEnd w:id="107"/>
    </w:p>
    <w:p>
      <w:pPr>
        <w:pStyle w:val="4"/>
        <w:rPr>
          <w:rFonts w:eastAsia="仿宋"/>
        </w:rPr>
      </w:pPr>
      <w:bookmarkStart w:id="108" w:name="_Toc147651439"/>
      <w:r>
        <w:rPr>
          <w:rFonts w:hint="eastAsia" w:ascii="仿宋" w:hAnsi="仿宋" w:eastAsia="仿宋"/>
          <w:b w:val="0"/>
        </w:rPr>
        <w:t>十三、财政拨款“三公”经费支出决算表</w:t>
      </w:r>
      <w:bookmarkEnd w:id="108"/>
    </w:p>
    <w:sectPr>
      <w:footerReference r:id="rId5" w:type="firs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mbria">
    <w:altName w:val="Georgia"/>
    <w:panose1 w:val="02040503050406030204"/>
    <w:charset w:val="00"/>
    <w:family w:val="roman"/>
    <w:pitch w:val="default"/>
    <w:sig w:usb0="00000000" w:usb1="00000000" w:usb2="00000000" w:usb3="00000000" w:csb0="0000019F" w:csb1="00000000"/>
  </w:font>
  <w:font w:name="仿宋">
    <w:altName w:val="宋体"/>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
    <w:altName w:val="Times New Roman"/>
    <w:panose1 w:val="00000000000000000000"/>
    <w:charset w:val="00"/>
    <w:family w:val="roman"/>
    <w:pitch w:val="default"/>
    <w:sig w:usb0="00000000" w:usb1="00000000" w:usb2="00000000" w:usb3="00000000" w:csb0="00000000"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XuukrFgIAABkEAAAOAAAAZHJz&#10;L2Uyb0RvYy54bWytU8uO0zAU3SPxD5b3NGkrRlXVdFRmVIRUMSMVxNp17CaSY1u226R8APwBKzbs&#10;+a5+xxy7SQcBK8TGOdf35j7OPV7cdo0iR+F8bXRBx6OcEqG5KWu9L+jHD+tXM0p8YLpkymhR0JPw&#10;9Hb58sWitXMxMZVRpXAESbSft7agVQh2nmWeV6JhfmSs0HBK4xoWYLp9VjrWInujskme32StcaV1&#10;hgvvcXt/cdJlyi+l4OFBSi8CUQVFbyGdLp27eGbLBZvvHbNVzfs22D900bBao+g11T0LjBxc/Ueq&#10;pubOeCPDiJsmM1LWXKQZMM04/22abcWsSLOAHG+vNPn/l5a/Pz46UpcFnVKiWYMVnb99PX//ef7x&#10;hUwjPa31c0RtLeJC98Z0BQ3uIAaXx30cvJOuiV+MRBACrk9XfkUXCMfleDaZzXK4OHyDgRLZ8+/W&#10;+fBWmIZEUFCHBSZe2XHjwyV0CInVtFnXSqUlKk3agt5MX+fph6sHyZVGjTjHpdmIQrfr+uF2pjxh&#10;Nmcu4vCWr2sU3zAfHpmDGtAwFB4ecEhlUMT0iJLKuM9/u4/xWBK8lLRQV0E15E+JeqexvCjEAbgB&#10;7AagD82dgVzHeDmWJ4gfXFADlM40nyD7VawhmfJIzDRHNaxmgHcBVu/E8+FitbrakJ5lYaO3lvfL&#10;jFx6uzoE8JlojhxdiOmpg/7Sovq3EgX+q52inl/08gl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F7rpKxYCAAAZBAAADgAAAAAAAAABACAAAAA1AQAAZHJzL2Uyb0RvYy54bWxQSwUGAAAAAAYA&#10;BgBZAQAAvQ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F1361C"/>
    <w:rsid w:val="00015AE4"/>
    <w:rsid w:val="000222C6"/>
    <w:rsid w:val="0002549F"/>
    <w:rsid w:val="0003369D"/>
    <w:rsid w:val="00042ED8"/>
    <w:rsid w:val="000468DB"/>
    <w:rsid w:val="00061AA7"/>
    <w:rsid w:val="0006487A"/>
    <w:rsid w:val="00065F8F"/>
    <w:rsid w:val="00070A43"/>
    <w:rsid w:val="000768F2"/>
    <w:rsid w:val="00080923"/>
    <w:rsid w:val="00084B5F"/>
    <w:rsid w:val="0009184B"/>
    <w:rsid w:val="00094236"/>
    <w:rsid w:val="0009593C"/>
    <w:rsid w:val="00097322"/>
    <w:rsid w:val="000A2163"/>
    <w:rsid w:val="000A6A92"/>
    <w:rsid w:val="000A773F"/>
    <w:rsid w:val="000B047F"/>
    <w:rsid w:val="000B5923"/>
    <w:rsid w:val="000B5A48"/>
    <w:rsid w:val="000B6FF3"/>
    <w:rsid w:val="000C3467"/>
    <w:rsid w:val="000C3AF3"/>
    <w:rsid w:val="000C3CA6"/>
    <w:rsid w:val="000D1267"/>
    <w:rsid w:val="000D1D50"/>
    <w:rsid w:val="000D20E2"/>
    <w:rsid w:val="000D5782"/>
    <w:rsid w:val="000D7568"/>
    <w:rsid w:val="000E2D0A"/>
    <w:rsid w:val="000E6613"/>
    <w:rsid w:val="000E7119"/>
    <w:rsid w:val="000F09BC"/>
    <w:rsid w:val="000F7C31"/>
    <w:rsid w:val="001061FE"/>
    <w:rsid w:val="00113726"/>
    <w:rsid w:val="00114E9B"/>
    <w:rsid w:val="00116D0C"/>
    <w:rsid w:val="00124687"/>
    <w:rsid w:val="0013052A"/>
    <w:rsid w:val="001305D3"/>
    <w:rsid w:val="001312C6"/>
    <w:rsid w:val="00133006"/>
    <w:rsid w:val="00134641"/>
    <w:rsid w:val="00140176"/>
    <w:rsid w:val="00142216"/>
    <w:rsid w:val="00144D6A"/>
    <w:rsid w:val="0014705A"/>
    <w:rsid w:val="0014729F"/>
    <w:rsid w:val="00150599"/>
    <w:rsid w:val="00157BAB"/>
    <w:rsid w:val="001654D1"/>
    <w:rsid w:val="00174518"/>
    <w:rsid w:val="0018106D"/>
    <w:rsid w:val="00182873"/>
    <w:rsid w:val="0018742D"/>
    <w:rsid w:val="001877A7"/>
    <w:rsid w:val="00187DFF"/>
    <w:rsid w:val="00191536"/>
    <w:rsid w:val="001927E9"/>
    <w:rsid w:val="00196687"/>
    <w:rsid w:val="001A02B2"/>
    <w:rsid w:val="001B54D6"/>
    <w:rsid w:val="001C0962"/>
    <w:rsid w:val="001C5E5C"/>
    <w:rsid w:val="001D7531"/>
    <w:rsid w:val="001E737D"/>
    <w:rsid w:val="001E75C6"/>
    <w:rsid w:val="001F0592"/>
    <w:rsid w:val="001F5E15"/>
    <w:rsid w:val="001F7506"/>
    <w:rsid w:val="002006CD"/>
    <w:rsid w:val="00202B36"/>
    <w:rsid w:val="00204B7A"/>
    <w:rsid w:val="00204CDE"/>
    <w:rsid w:val="0020790F"/>
    <w:rsid w:val="0021101A"/>
    <w:rsid w:val="00220536"/>
    <w:rsid w:val="0022546F"/>
    <w:rsid w:val="00235629"/>
    <w:rsid w:val="00235CB4"/>
    <w:rsid w:val="002549B1"/>
    <w:rsid w:val="00260C38"/>
    <w:rsid w:val="002616C0"/>
    <w:rsid w:val="00261BBF"/>
    <w:rsid w:val="00265372"/>
    <w:rsid w:val="002662AA"/>
    <w:rsid w:val="0027450D"/>
    <w:rsid w:val="00280496"/>
    <w:rsid w:val="0028696E"/>
    <w:rsid w:val="002928D3"/>
    <w:rsid w:val="00294DC9"/>
    <w:rsid w:val="00295495"/>
    <w:rsid w:val="002A31DE"/>
    <w:rsid w:val="002B2613"/>
    <w:rsid w:val="002B7F3C"/>
    <w:rsid w:val="002D6D05"/>
    <w:rsid w:val="002D6F89"/>
    <w:rsid w:val="002E28C4"/>
    <w:rsid w:val="002F1818"/>
    <w:rsid w:val="002F567B"/>
    <w:rsid w:val="002F7CA1"/>
    <w:rsid w:val="003216A9"/>
    <w:rsid w:val="00323A8C"/>
    <w:rsid w:val="00334113"/>
    <w:rsid w:val="00335A74"/>
    <w:rsid w:val="0036561B"/>
    <w:rsid w:val="0037013F"/>
    <w:rsid w:val="0037122A"/>
    <w:rsid w:val="00380C92"/>
    <w:rsid w:val="0039252D"/>
    <w:rsid w:val="0039642F"/>
    <w:rsid w:val="003A0AE7"/>
    <w:rsid w:val="003A484F"/>
    <w:rsid w:val="003A4883"/>
    <w:rsid w:val="003B0BE0"/>
    <w:rsid w:val="003B0C1B"/>
    <w:rsid w:val="003B688C"/>
    <w:rsid w:val="003C0291"/>
    <w:rsid w:val="003C2C04"/>
    <w:rsid w:val="003C39AE"/>
    <w:rsid w:val="003C5DA7"/>
    <w:rsid w:val="003C7B60"/>
    <w:rsid w:val="003D0C0F"/>
    <w:rsid w:val="003D1FB2"/>
    <w:rsid w:val="003D66DA"/>
    <w:rsid w:val="003E1310"/>
    <w:rsid w:val="003E2B81"/>
    <w:rsid w:val="003E54CE"/>
    <w:rsid w:val="003E6F55"/>
    <w:rsid w:val="003F3AD1"/>
    <w:rsid w:val="00401861"/>
    <w:rsid w:val="00401CA0"/>
    <w:rsid w:val="00406254"/>
    <w:rsid w:val="004223DE"/>
    <w:rsid w:val="00422FA1"/>
    <w:rsid w:val="00434489"/>
    <w:rsid w:val="00437085"/>
    <w:rsid w:val="00443880"/>
    <w:rsid w:val="004464F4"/>
    <w:rsid w:val="0045267E"/>
    <w:rsid w:val="00471401"/>
    <w:rsid w:val="00473F31"/>
    <w:rsid w:val="0048263A"/>
    <w:rsid w:val="00483E34"/>
    <w:rsid w:val="00487E5D"/>
    <w:rsid w:val="00495160"/>
    <w:rsid w:val="004A11EF"/>
    <w:rsid w:val="004A711F"/>
    <w:rsid w:val="004B199D"/>
    <w:rsid w:val="004B4690"/>
    <w:rsid w:val="004B48AE"/>
    <w:rsid w:val="004E0A2D"/>
    <w:rsid w:val="004E206B"/>
    <w:rsid w:val="004E6DF7"/>
    <w:rsid w:val="004F0FBD"/>
    <w:rsid w:val="004F3177"/>
    <w:rsid w:val="004F3888"/>
    <w:rsid w:val="004F52C1"/>
    <w:rsid w:val="00503C6E"/>
    <w:rsid w:val="00505A47"/>
    <w:rsid w:val="00512FDA"/>
    <w:rsid w:val="00520DA0"/>
    <w:rsid w:val="00527032"/>
    <w:rsid w:val="005366BD"/>
    <w:rsid w:val="00550ED1"/>
    <w:rsid w:val="00552738"/>
    <w:rsid w:val="005664BB"/>
    <w:rsid w:val="00566FFA"/>
    <w:rsid w:val="0057481D"/>
    <w:rsid w:val="0058486E"/>
    <w:rsid w:val="00585B33"/>
    <w:rsid w:val="0059014D"/>
    <w:rsid w:val="005B246A"/>
    <w:rsid w:val="005B4A7D"/>
    <w:rsid w:val="005B5C64"/>
    <w:rsid w:val="005B610B"/>
    <w:rsid w:val="005C22B9"/>
    <w:rsid w:val="005C5337"/>
    <w:rsid w:val="005C6BD0"/>
    <w:rsid w:val="005D0CC4"/>
    <w:rsid w:val="005D1C8B"/>
    <w:rsid w:val="005D468D"/>
    <w:rsid w:val="005D5CED"/>
    <w:rsid w:val="005F1A4C"/>
    <w:rsid w:val="005F31B2"/>
    <w:rsid w:val="00605688"/>
    <w:rsid w:val="006070AF"/>
    <w:rsid w:val="00607E6C"/>
    <w:rsid w:val="006101B1"/>
    <w:rsid w:val="00614E44"/>
    <w:rsid w:val="00615A18"/>
    <w:rsid w:val="0062270A"/>
    <w:rsid w:val="00622830"/>
    <w:rsid w:val="00623DA0"/>
    <w:rsid w:val="00630AEF"/>
    <w:rsid w:val="006325F8"/>
    <w:rsid w:val="00633463"/>
    <w:rsid w:val="00634C9A"/>
    <w:rsid w:val="006440E4"/>
    <w:rsid w:val="00652B4B"/>
    <w:rsid w:val="006539DF"/>
    <w:rsid w:val="00653A3A"/>
    <w:rsid w:val="0066343B"/>
    <w:rsid w:val="00664777"/>
    <w:rsid w:val="00672BA8"/>
    <w:rsid w:val="006748A4"/>
    <w:rsid w:val="00681A31"/>
    <w:rsid w:val="00683E73"/>
    <w:rsid w:val="006A3141"/>
    <w:rsid w:val="006A5E34"/>
    <w:rsid w:val="006A790F"/>
    <w:rsid w:val="006B2422"/>
    <w:rsid w:val="006B2B9A"/>
    <w:rsid w:val="006B6688"/>
    <w:rsid w:val="006B7C3B"/>
    <w:rsid w:val="006C1937"/>
    <w:rsid w:val="006E2E2E"/>
    <w:rsid w:val="006E6463"/>
    <w:rsid w:val="006F020C"/>
    <w:rsid w:val="00711FD9"/>
    <w:rsid w:val="007127B7"/>
    <w:rsid w:val="00714347"/>
    <w:rsid w:val="0071798E"/>
    <w:rsid w:val="007275A6"/>
    <w:rsid w:val="00734142"/>
    <w:rsid w:val="00737833"/>
    <w:rsid w:val="007416B6"/>
    <w:rsid w:val="00741BFC"/>
    <w:rsid w:val="00741E63"/>
    <w:rsid w:val="00746F48"/>
    <w:rsid w:val="00750967"/>
    <w:rsid w:val="0075404D"/>
    <w:rsid w:val="0076182A"/>
    <w:rsid w:val="00767B7E"/>
    <w:rsid w:val="00773790"/>
    <w:rsid w:val="007770C3"/>
    <w:rsid w:val="00784D24"/>
    <w:rsid w:val="00785FBA"/>
    <w:rsid w:val="00786BA3"/>
    <w:rsid w:val="00786E4A"/>
    <w:rsid w:val="007875EB"/>
    <w:rsid w:val="0079426B"/>
    <w:rsid w:val="007D1682"/>
    <w:rsid w:val="007D312A"/>
    <w:rsid w:val="007D3F19"/>
    <w:rsid w:val="007E23B0"/>
    <w:rsid w:val="007E23E5"/>
    <w:rsid w:val="007E3986"/>
    <w:rsid w:val="007E4FA7"/>
    <w:rsid w:val="007F1991"/>
    <w:rsid w:val="007F2C2F"/>
    <w:rsid w:val="007F4AD3"/>
    <w:rsid w:val="007F55FC"/>
    <w:rsid w:val="007F5665"/>
    <w:rsid w:val="00800112"/>
    <w:rsid w:val="00813348"/>
    <w:rsid w:val="0082320C"/>
    <w:rsid w:val="008253BB"/>
    <w:rsid w:val="00826AE5"/>
    <w:rsid w:val="0083519C"/>
    <w:rsid w:val="0083706E"/>
    <w:rsid w:val="008408F6"/>
    <w:rsid w:val="00841C02"/>
    <w:rsid w:val="008423A5"/>
    <w:rsid w:val="00845655"/>
    <w:rsid w:val="00850625"/>
    <w:rsid w:val="00853718"/>
    <w:rsid w:val="00855221"/>
    <w:rsid w:val="00860645"/>
    <w:rsid w:val="00863E9E"/>
    <w:rsid w:val="00867285"/>
    <w:rsid w:val="00871F71"/>
    <w:rsid w:val="00872FD8"/>
    <w:rsid w:val="00885AF4"/>
    <w:rsid w:val="00887C0C"/>
    <w:rsid w:val="008939CD"/>
    <w:rsid w:val="008B0B00"/>
    <w:rsid w:val="008B768C"/>
    <w:rsid w:val="008C4DB1"/>
    <w:rsid w:val="008C4EAF"/>
    <w:rsid w:val="008C5176"/>
    <w:rsid w:val="008C517F"/>
    <w:rsid w:val="008C7FD0"/>
    <w:rsid w:val="008D3A37"/>
    <w:rsid w:val="008D46AA"/>
    <w:rsid w:val="008E1DE7"/>
    <w:rsid w:val="008E6D26"/>
    <w:rsid w:val="008E707C"/>
    <w:rsid w:val="008F3B4A"/>
    <w:rsid w:val="00900B08"/>
    <w:rsid w:val="00902155"/>
    <w:rsid w:val="00902FA3"/>
    <w:rsid w:val="00903A0B"/>
    <w:rsid w:val="00923564"/>
    <w:rsid w:val="0092392E"/>
    <w:rsid w:val="00923A9B"/>
    <w:rsid w:val="009315F9"/>
    <w:rsid w:val="00933499"/>
    <w:rsid w:val="00935C98"/>
    <w:rsid w:val="0094036F"/>
    <w:rsid w:val="00946945"/>
    <w:rsid w:val="00951248"/>
    <w:rsid w:val="0095152F"/>
    <w:rsid w:val="00954C49"/>
    <w:rsid w:val="00955E37"/>
    <w:rsid w:val="0097099F"/>
    <w:rsid w:val="00970D2F"/>
    <w:rsid w:val="00971997"/>
    <w:rsid w:val="00971FFC"/>
    <w:rsid w:val="00976B67"/>
    <w:rsid w:val="0098660A"/>
    <w:rsid w:val="00987E3E"/>
    <w:rsid w:val="00990BD1"/>
    <w:rsid w:val="009931C3"/>
    <w:rsid w:val="009A5C49"/>
    <w:rsid w:val="009A65DC"/>
    <w:rsid w:val="009A7EF2"/>
    <w:rsid w:val="009B2C43"/>
    <w:rsid w:val="009B4EAE"/>
    <w:rsid w:val="009B7573"/>
    <w:rsid w:val="009C22F4"/>
    <w:rsid w:val="009C2A4B"/>
    <w:rsid w:val="009C2E98"/>
    <w:rsid w:val="009D005C"/>
    <w:rsid w:val="009D3447"/>
    <w:rsid w:val="009D4711"/>
    <w:rsid w:val="009F1185"/>
    <w:rsid w:val="009F18CD"/>
    <w:rsid w:val="009F2A13"/>
    <w:rsid w:val="009F7527"/>
    <w:rsid w:val="00A04EB0"/>
    <w:rsid w:val="00A13CC1"/>
    <w:rsid w:val="00A16847"/>
    <w:rsid w:val="00A21FB9"/>
    <w:rsid w:val="00A223E7"/>
    <w:rsid w:val="00A237D8"/>
    <w:rsid w:val="00A268C4"/>
    <w:rsid w:val="00A307CD"/>
    <w:rsid w:val="00A31B92"/>
    <w:rsid w:val="00A331C8"/>
    <w:rsid w:val="00A36A64"/>
    <w:rsid w:val="00A40A00"/>
    <w:rsid w:val="00A4142F"/>
    <w:rsid w:val="00A422EB"/>
    <w:rsid w:val="00A45BB7"/>
    <w:rsid w:val="00A514B3"/>
    <w:rsid w:val="00A56DF2"/>
    <w:rsid w:val="00A56E6E"/>
    <w:rsid w:val="00A67AB5"/>
    <w:rsid w:val="00A733B2"/>
    <w:rsid w:val="00A741C2"/>
    <w:rsid w:val="00A84BAC"/>
    <w:rsid w:val="00A91760"/>
    <w:rsid w:val="00A9230D"/>
    <w:rsid w:val="00A93B00"/>
    <w:rsid w:val="00A93C21"/>
    <w:rsid w:val="00AA2F49"/>
    <w:rsid w:val="00AB2664"/>
    <w:rsid w:val="00AB56E9"/>
    <w:rsid w:val="00AB6144"/>
    <w:rsid w:val="00AB64C9"/>
    <w:rsid w:val="00AC3C6A"/>
    <w:rsid w:val="00AC4EE4"/>
    <w:rsid w:val="00AD5620"/>
    <w:rsid w:val="00AD656B"/>
    <w:rsid w:val="00AD7C1B"/>
    <w:rsid w:val="00AE16BA"/>
    <w:rsid w:val="00AE1EBE"/>
    <w:rsid w:val="00B005A7"/>
    <w:rsid w:val="00B03C9D"/>
    <w:rsid w:val="00B060AE"/>
    <w:rsid w:val="00B10517"/>
    <w:rsid w:val="00B135B8"/>
    <w:rsid w:val="00B14E76"/>
    <w:rsid w:val="00B161B8"/>
    <w:rsid w:val="00B2048C"/>
    <w:rsid w:val="00B2709E"/>
    <w:rsid w:val="00B310B9"/>
    <w:rsid w:val="00B35F3F"/>
    <w:rsid w:val="00B36CBB"/>
    <w:rsid w:val="00B425E0"/>
    <w:rsid w:val="00B42BCA"/>
    <w:rsid w:val="00B440AA"/>
    <w:rsid w:val="00B44B70"/>
    <w:rsid w:val="00B44FAF"/>
    <w:rsid w:val="00B53C56"/>
    <w:rsid w:val="00B57DAF"/>
    <w:rsid w:val="00B66181"/>
    <w:rsid w:val="00B718DF"/>
    <w:rsid w:val="00B77EA6"/>
    <w:rsid w:val="00B81598"/>
    <w:rsid w:val="00B841F1"/>
    <w:rsid w:val="00B944D6"/>
    <w:rsid w:val="00B9473B"/>
    <w:rsid w:val="00B96A49"/>
    <w:rsid w:val="00B9728E"/>
    <w:rsid w:val="00BB4DF0"/>
    <w:rsid w:val="00BC289F"/>
    <w:rsid w:val="00BC2D50"/>
    <w:rsid w:val="00BC5361"/>
    <w:rsid w:val="00BC5460"/>
    <w:rsid w:val="00BC6B50"/>
    <w:rsid w:val="00BD0E25"/>
    <w:rsid w:val="00BD6881"/>
    <w:rsid w:val="00BE6B41"/>
    <w:rsid w:val="00BF5BD6"/>
    <w:rsid w:val="00BF7766"/>
    <w:rsid w:val="00C03E31"/>
    <w:rsid w:val="00C2786E"/>
    <w:rsid w:val="00C32A66"/>
    <w:rsid w:val="00C33E72"/>
    <w:rsid w:val="00C34424"/>
    <w:rsid w:val="00C354B2"/>
    <w:rsid w:val="00C354DB"/>
    <w:rsid w:val="00C35554"/>
    <w:rsid w:val="00C36495"/>
    <w:rsid w:val="00C42709"/>
    <w:rsid w:val="00C50E93"/>
    <w:rsid w:val="00C533CC"/>
    <w:rsid w:val="00C560D8"/>
    <w:rsid w:val="00C5751C"/>
    <w:rsid w:val="00C61BFC"/>
    <w:rsid w:val="00C62B85"/>
    <w:rsid w:val="00C64B68"/>
    <w:rsid w:val="00C65438"/>
    <w:rsid w:val="00C73B22"/>
    <w:rsid w:val="00C74840"/>
    <w:rsid w:val="00C76C68"/>
    <w:rsid w:val="00C87FD8"/>
    <w:rsid w:val="00C91381"/>
    <w:rsid w:val="00C91CBB"/>
    <w:rsid w:val="00C94079"/>
    <w:rsid w:val="00CA251C"/>
    <w:rsid w:val="00CB0E84"/>
    <w:rsid w:val="00CB480A"/>
    <w:rsid w:val="00CB4E70"/>
    <w:rsid w:val="00CC09B6"/>
    <w:rsid w:val="00CC666F"/>
    <w:rsid w:val="00CD1E3F"/>
    <w:rsid w:val="00CD60A8"/>
    <w:rsid w:val="00CE44F6"/>
    <w:rsid w:val="00CE49DA"/>
    <w:rsid w:val="00CE7B61"/>
    <w:rsid w:val="00CF6340"/>
    <w:rsid w:val="00D00095"/>
    <w:rsid w:val="00D114F0"/>
    <w:rsid w:val="00D154D1"/>
    <w:rsid w:val="00D17569"/>
    <w:rsid w:val="00D20620"/>
    <w:rsid w:val="00D254F7"/>
    <w:rsid w:val="00D26091"/>
    <w:rsid w:val="00D2685C"/>
    <w:rsid w:val="00D34E7C"/>
    <w:rsid w:val="00D35489"/>
    <w:rsid w:val="00D36AFE"/>
    <w:rsid w:val="00D416B4"/>
    <w:rsid w:val="00D51276"/>
    <w:rsid w:val="00D7035F"/>
    <w:rsid w:val="00D81B46"/>
    <w:rsid w:val="00D95352"/>
    <w:rsid w:val="00DA181D"/>
    <w:rsid w:val="00DA634F"/>
    <w:rsid w:val="00DA65AC"/>
    <w:rsid w:val="00DA7E57"/>
    <w:rsid w:val="00DB007A"/>
    <w:rsid w:val="00DB1913"/>
    <w:rsid w:val="00DC007F"/>
    <w:rsid w:val="00DC2012"/>
    <w:rsid w:val="00DC410D"/>
    <w:rsid w:val="00DC5A81"/>
    <w:rsid w:val="00DC68CA"/>
    <w:rsid w:val="00DC7CBA"/>
    <w:rsid w:val="00DD13B3"/>
    <w:rsid w:val="00DD19E5"/>
    <w:rsid w:val="00DD5D8C"/>
    <w:rsid w:val="00DD73B7"/>
    <w:rsid w:val="00DE0D18"/>
    <w:rsid w:val="00DF28BC"/>
    <w:rsid w:val="00DF34B9"/>
    <w:rsid w:val="00E01053"/>
    <w:rsid w:val="00E05604"/>
    <w:rsid w:val="00E07ACF"/>
    <w:rsid w:val="00E247A2"/>
    <w:rsid w:val="00E25FFE"/>
    <w:rsid w:val="00E331A1"/>
    <w:rsid w:val="00E33202"/>
    <w:rsid w:val="00E336A9"/>
    <w:rsid w:val="00E472B1"/>
    <w:rsid w:val="00E50624"/>
    <w:rsid w:val="00E56079"/>
    <w:rsid w:val="00E568DF"/>
    <w:rsid w:val="00E64269"/>
    <w:rsid w:val="00E64A5A"/>
    <w:rsid w:val="00E65299"/>
    <w:rsid w:val="00E82267"/>
    <w:rsid w:val="00E853CE"/>
    <w:rsid w:val="00E867B6"/>
    <w:rsid w:val="00E901FA"/>
    <w:rsid w:val="00E960DD"/>
    <w:rsid w:val="00E97A64"/>
    <w:rsid w:val="00EA010F"/>
    <w:rsid w:val="00EA1C06"/>
    <w:rsid w:val="00EC65B8"/>
    <w:rsid w:val="00ED1B63"/>
    <w:rsid w:val="00ED2C2D"/>
    <w:rsid w:val="00ED3C1F"/>
    <w:rsid w:val="00ED4085"/>
    <w:rsid w:val="00ED420E"/>
    <w:rsid w:val="00ED6FBE"/>
    <w:rsid w:val="00EE2F57"/>
    <w:rsid w:val="00EF4C34"/>
    <w:rsid w:val="00EF77C6"/>
    <w:rsid w:val="00F05438"/>
    <w:rsid w:val="00F07564"/>
    <w:rsid w:val="00F108E2"/>
    <w:rsid w:val="00F1361C"/>
    <w:rsid w:val="00F156F0"/>
    <w:rsid w:val="00F160C7"/>
    <w:rsid w:val="00F2408F"/>
    <w:rsid w:val="00F240E9"/>
    <w:rsid w:val="00F36D10"/>
    <w:rsid w:val="00F36D8F"/>
    <w:rsid w:val="00F417B1"/>
    <w:rsid w:val="00F43229"/>
    <w:rsid w:val="00F45853"/>
    <w:rsid w:val="00F4774C"/>
    <w:rsid w:val="00F51F21"/>
    <w:rsid w:val="00F602DF"/>
    <w:rsid w:val="00F71EBE"/>
    <w:rsid w:val="00F754A1"/>
    <w:rsid w:val="00F81FD9"/>
    <w:rsid w:val="00F841AA"/>
    <w:rsid w:val="00F84A94"/>
    <w:rsid w:val="00F87E96"/>
    <w:rsid w:val="00F93434"/>
    <w:rsid w:val="00F9696F"/>
    <w:rsid w:val="00FA23E8"/>
    <w:rsid w:val="00FB7D0C"/>
    <w:rsid w:val="00FD3CC1"/>
    <w:rsid w:val="00FD68E6"/>
    <w:rsid w:val="00FE1E9B"/>
    <w:rsid w:val="00FE346A"/>
    <w:rsid w:val="00FE79BB"/>
    <w:rsid w:val="00FF1947"/>
    <w:rsid w:val="00FF1E02"/>
    <w:rsid w:val="00FF2165"/>
    <w:rsid w:val="00FF30B4"/>
    <w:rsid w:val="015975B8"/>
    <w:rsid w:val="02143E91"/>
    <w:rsid w:val="066E0107"/>
    <w:rsid w:val="07996F6E"/>
    <w:rsid w:val="079F25F2"/>
    <w:rsid w:val="0A2032A3"/>
    <w:rsid w:val="0B0A7ACF"/>
    <w:rsid w:val="0F98263C"/>
    <w:rsid w:val="101860EC"/>
    <w:rsid w:val="108F5D13"/>
    <w:rsid w:val="10C055FF"/>
    <w:rsid w:val="118107EC"/>
    <w:rsid w:val="13D50BC4"/>
    <w:rsid w:val="16BB723D"/>
    <w:rsid w:val="1BE8440E"/>
    <w:rsid w:val="1D155CEE"/>
    <w:rsid w:val="1FF35744"/>
    <w:rsid w:val="23860B96"/>
    <w:rsid w:val="240371BF"/>
    <w:rsid w:val="26C26CF7"/>
    <w:rsid w:val="29FD04D3"/>
    <w:rsid w:val="2C8A61B5"/>
    <w:rsid w:val="2DF04E50"/>
    <w:rsid w:val="2F040D46"/>
    <w:rsid w:val="306D4B10"/>
    <w:rsid w:val="319F7F4E"/>
    <w:rsid w:val="32A9493D"/>
    <w:rsid w:val="3304709D"/>
    <w:rsid w:val="36AA5135"/>
    <w:rsid w:val="376D39B2"/>
    <w:rsid w:val="37E16F03"/>
    <w:rsid w:val="38D469F0"/>
    <w:rsid w:val="3D395E63"/>
    <w:rsid w:val="3D98207C"/>
    <w:rsid w:val="3E78745D"/>
    <w:rsid w:val="44E268DA"/>
    <w:rsid w:val="4A627F82"/>
    <w:rsid w:val="4B0E749A"/>
    <w:rsid w:val="4B4F25DA"/>
    <w:rsid w:val="4BE068DB"/>
    <w:rsid w:val="4D577224"/>
    <w:rsid w:val="4EAB630A"/>
    <w:rsid w:val="4ECE2238"/>
    <w:rsid w:val="537E6D0A"/>
    <w:rsid w:val="5AF92295"/>
    <w:rsid w:val="5CD71FC4"/>
    <w:rsid w:val="6C4A05C8"/>
    <w:rsid w:val="6E7E3605"/>
    <w:rsid w:val="6FF5CC65"/>
    <w:rsid w:val="715C0E4B"/>
    <w:rsid w:val="72734D90"/>
    <w:rsid w:val="72C232B3"/>
    <w:rsid w:val="73AD73D5"/>
    <w:rsid w:val="73B6EB34"/>
    <w:rsid w:val="744731E5"/>
    <w:rsid w:val="76E3355F"/>
    <w:rsid w:val="778769C8"/>
    <w:rsid w:val="79EE5BA4"/>
    <w:rsid w:val="7A894339"/>
    <w:rsid w:val="7EEF11D3"/>
    <w:rsid w:val="7FA30C79"/>
    <w:rsid w:val="7FB7269E"/>
    <w:rsid w:val="7FC96657"/>
    <w:rsid w:val="D8D6DB89"/>
    <w:rsid w:val="DB6F4CAB"/>
    <w:rsid w:val="DF6F9789"/>
    <w:rsid w:val="E47F4A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5">
    <w:name w:val="heading 3"/>
    <w:basedOn w:val="1"/>
    <w:next w:val="1"/>
    <w:link w:val="34"/>
    <w:unhideWhenUsed/>
    <w:qFormat/>
    <w:uiPriority w:val="9"/>
    <w:pPr>
      <w:keepNext/>
      <w:keepLines/>
      <w:spacing w:before="260" w:after="260" w:line="416" w:lineRule="auto"/>
      <w:outlineLvl w:val="2"/>
    </w:pPr>
    <w:rPr>
      <w:b/>
      <w:bCs/>
      <w:szCs w:val="32"/>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99"/>
    <w:pPr>
      <w:spacing w:beforeLines="30"/>
    </w:pPr>
    <w:rPr>
      <w:rFonts w:ascii="仿宋_GB2312"/>
      <w:kern w:val="0"/>
      <w:sz w:val="30"/>
    </w:rPr>
  </w:style>
  <w:style w:type="paragraph" w:styleId="6">
    <w:name w:val="annotation text"/>
    <w:basedOn w:val="1"/>
    <w:link w:val="37"/>
    <w:semiHidden/>
    <w:unhideWhenUsed/>
    <w:qFormat/>
    <w:uiPriority w:val="99"/>
    <w:pPr>
      <w:jc w:val="left"/>
    </w:p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3"/>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annotation subject"/>
    <w:basedOn w:val="6"/>
    <w:next w:val="6"/>
    <w:link w:val="38"/>
    <w:semiHidden/>
    <w:unhideWhenUsed/>
    <w:qFormat/>
    <w:uiPriority w:val="99"/>
    <w:rPr>
      <w:b/>
      <w:bCs/>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styleId="20">
    <w:name w:val="annotation reference"/>
    <w:basedOn w:val="17"/>
    <w:semiHidden/>
    <w:unhideWhenUsed/>
    <w:qFormat/>
    <w:uiPriority w:val="99"/>
    <w:rPr>
      <w:sz w:val="21"/>
      <w:szCs w:val="21"/>
    </w:rPr>
  </w:style>
  <w:style w:type="paragraph" w:customStyle="1" w:styleId="21">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2">
    <w:name w:val="Header Char"/>
    <w:basedOn w:val="17"/>
    <w:semiHidden/>
    <w:qFormat/>
    <w:uiPriority w:val="99"/>
    <w:rPr>
      <w:rFonts w:ascii="Times New Roman" w:hAnsi="Times New Roman"/>
      <w:sz w:val="18"/>
      <w:szCs w:val="18"/>
    </w:rPr>
  </w:style>
  <w:style w:type="character" w:customStyle="1" w:styleId="23">
    <w:name w:val="页眉 字符"/>
    <w:link w:val="11"/>
    <w:semiHidden/>
    <w:qFormat/>
    <w:locked/>
    <w:uiPriority w:val="99"/>
    <w:rPr>
      <w:sz w:val="18"/>
    </w:rPr>
  </w:style>
  <w:style w:type="character" w:customStyle="1" w:styleId="24">
    <w:name w:val="Footer Char"/>
    <w:basedOn w:val="17"/>
    <w:semiHidden/>
    <w:qFormat/>
    <w:uiPriority w:val="99"/>
    <w:rPr>
      <w:rFonts w:ascii="Times New Roman" w:hAnsi="Times New Roman"/>
      <w:sz w:val="18"/>
      <w:szCs w:val="18"/>
    </w:rPr>
  </w:style>
  <w:style w:type="character" w:customStyle="1" w:styleId="25">
    <w:name w:val="页脚 字符"/>
    <w:link w:val="10"/>
    <w:qFormat/>
    <w:locked/>
    <w:uiPriority w:val="99"/>
    <w:rPr>
      <w:sz w:val="18"/>
    </w:rPr>
  </w:style>
  <w:style w:type="character" w:customStyle="1" w:styleId="26">
    <w:name w:val="Body Text Char"/>
    <w:basedOn w:val="17"/>
    <w:semiHidden/>
    <w:qFormat/>
    <w:uiPriority w:val="99"/>
    <w:rPr>
      <w:rFonts w:ascii="Times New Roman" w:hAnsi="Times New Roman"/>
      <w:szCs w:val="24"/>
    </w:rPr>
  </w:style>
  <w:style w:type="character" w:customStyle="1" w:styleId="27">
    <w:name w:val="正文文本 字符"/>
    <w:link w:val="2"/>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character" w:customStyle="1" w:styleId="30">
    <w:name w:val="标题 1 字符"/>
    <w:basedOn w:val="17"/>
    <w:link w:val="3"/>
    <w:qFormat/>
    <w:uiPriority w:val="9"/>
    <w:rPr>
      <w:rFonts w:ascii="Times New Roman" w:hAnsi="Times New Roman"/>
      <w:b/>
      <w:bCs/>
      <w:kern w:val="44"/>
      <w:sz w:val="44"/>
      <w:szCs w:val="44"/>
    </w:rPr>
  </w:style>
  <w:style w:type="character" w:customStyle="1" w:styleId="31">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2">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批注框文本 字符"/>
    <w:basedOn w:val="17"/>
    <w:link w:val="9"/>
    <w:semiHidden/>
    <w:qFormat/>
    <w:uiPriority w:val="99"/>
    <w:rPr>
      <w:rFonts w:ascii="Times New Roman" w:hAnsi="Times New Roman"/>
      <w:kern w:val="2"/>
      <w:sz w:val="18"/>
      <w:szCs w:val="18"/>
    </w:rPr>
  </w:style>
  <w:style w:type="character" w:customStyle="1" w:styleId="34">
    <w:name w:val="标题 3 字符"/>
    <w:basedOn w:val="17"/>
    <w:link w:val="5"/>
    <w:qFormat/>
    <w:uiPriority w:val="9"/>
    <w:rPr>
      <w:rFonts w:ascii="Times New Roman" w:hAnsi="Times New Roman"/>
      <w:b/>
      <w:bCs/>
      <w:kern w:val="2"/>
      <w:sz w:val="32"/>
      <w:szCs w:val="32"/>
    </w:rPr>
  </w:style>
  <w:style w:type="paragraph" w:customStyle="1" w:styleId="35">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6">
    <w:name w:val="四号正文"/>
    <w:basedOn w:val="1"/>
    <w:qFormat/>
    <w:uiPriority w:val="0"/>
    <w:pPr>
      <w:spacing w:line="360" w:lineRule="auto"/>
    </w:pPr>
    <w:rPr>
      <w:rFonts w:ascii="??" w:hAnsi="??"/>
      <w:color w:val="000000"/>
      <w:kern w:val="0"/>
      <w:sz w:val="28"/>
      <w:szCs w:val="21"/>
      <w:lang w:val="zh-CN"/>
    </w:rPr>
  </w:style>
  <w:style w:type="character" w:customStyle="1" w:styleId="37">
    <w:name w:val="批注文字 字符"/>
    <w:basedOn w:val="17"/>
    <w:link w:val="6"/>
    <w:semiHidden/>
    <w:qFormat/>
    <w:uiPriority w:val="99"/>
    <w:rPr>
      <w:rFonts w:ascii="Times New Roman" w:hAnsi="Times New Roman" w:eastAsia="仿宋_GB2312" w:cs="Times New Roman"/>
      <w:kern w:val="2"/>
      <w:sz w:val="32"/>
      <w:szCs w:val="24"/>
    </w:rPr>
  </w:style>
  <w:style w:type="character" w:customStyle="1" w:styleId="38">
    <w:name w:val="批注主题 字符"/>
    <w:basedOn w:val="37"/>
    <w:link w:val="14"/>
    <w:semiHidden/>
    <w:qFormat/>
    <w:uiPriority w:val="99"/>
    <w:rPr>
      <w:rFonts w:ascii="Times New Roman" w:hAnsi="Times New Roman" w:eastAsia="仿宋_GB2312" w:cs="Times New Roman"/>
      <w:b/>
      <w:bCs/>
      <w:kern w:val="2"/>
      <w:sz w:val="32"/>
      <w:szCs w:val="24"/>
    </w:rPr>
  </w:style>
  <w:style w:type="paragraph" w:customStyle="1" w:styleId="39">
    <w:name w:val="29"/>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常用样式（方正仿宋简）"/>
    <w:basedOn w:val="1"/>
    <w:qFormat/>
    <w:uiPriority w:val="99"/>
    <w:pPr>
      <w:spacing w:line="560" w:lineRule="exact"/>
      <w:ind w:firstLine="640" w:firstLineChars="200"/>
    </w:pPr>
    <w:rPr>
      <w:rFonts w:eastAsia="方正仿宋简体"/>
      <w:szCs w:val="32"/>
    </w:rPr>
  </w:style>
  <w:style w:type="paragraph" w:customStyle="1" w:styleId="41">
    <w:name w:val="TOC 标题3"/>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paragraph" w:customStyle="1" w:styleId="42">
    <w:name w:val="样式 样式 (西文) 宋体 (中文) 仿宋_GB2312 小四 + 首行缩进:  2 字符 行距: 最小值 12 磅"/>
    <w:basedOn w:val="1"/>
    <w:qFormat/>
    <w:uiPriority w:val="0"/>
    <w:pPr>
      <w:spacing w:line="240" w:lineRule="atLeast"/>
      <w:ind w:firstLine="640" w:firstLineChars="200"/>
      <w:jc w:val="left"/>
    </w:pPr>
    <w:rPr>
      <w:rFonts w:ascii="仿宋_GB2312"/>
      <w:b/>
      <w:color w:val="000000"/>
      <w:sz w:val="30"/>
      <w:szCs w:val="28"/>
    </w:rPr>
  </w:style>
  <w:style w:type="paragraph" w:customStyle="1" w:styleId="43">
    <w:name w:val="p0"/>
    <w:basedOn w:val="1"/>
    <w:qFormat/>
    <w:uiPriority w:val="0"/>
    <w:pPr>
      <w:widowControl/>
    </w:pPr>
    <w:rPr>
      <w:kern w:val="0"/>
      <w:szCs w:val="21"/>
    </w:rPr>
  </w:style>
  <w:style w:type="paragraph" w:customStyle="1" w:styleId="44">
    <w:name w:val="TOC 标题4"/>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5.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收支情况</c:v>
                </c:pt>
              </c:strCache>
            </c:strRef>
          </c:cat>
          <c:val>
            <c:numRef>
              <c:f>Sheet1!$B$2</c:f>
              <c:numCache>
                <c:formatCode>General</c:formatCode>
                <c:ptCount val="1"/>
                <c:pt idx="0">
                  <c:v>53756.04</c:v>
                </c:pt>
              </c:numCache>
            </c:numRef>
          </c:val>
        </c:ser>
        <c:ser>
          <c:idx val="1"/>
          <c:order val="1"/>
          <c:tx>
            <c:strRef>
              <c:f>Sheet1!$C$1</c:f>
              <c:strCache>
                <c:ptCount val="1"/>
                <c:pt idx="0">
                  <c:v>2022年</c:v>
                </c:pt>
              </c:strCache>
            </c:strRef>
          </c:tx>
          <c:spPr>
            <a:solidFill>
              <a:schemeClr val="accent1"/>
            </a:solidFill>
            <a:ln>
              <a:noFill/>
            </a:ln>
            <a:effectLst/>
          </c:spPr>
          <c:invertIfNegative val="false"/>
          <c:dLbls>
            <c:delete val="true"/>
          </c:dLbls>
          <c:cat>
            <c:strRef>
              <c:f>Sheet1!$A$2</c:f>
              <c:strCache>
                <c:ptCount val="1"/>
                <c:pt idx="0">
                  <c:v>收支情况</c:v>
                </c:pt>
              </c:strCache>
            </c:strRef>
          </c:cat>
          <c:val>
            <c:numRef>
              <c:f>Sheet1!$C$2</c:f>
              <c:numCache>
                <c:formatCode>General</c:formatCode>
                <c:ptCount val="1"/>
                <c:pt idx="0">
                  <c:v>37754.5</c:v>
                </c:pt>
              </c:numCache>
            </c:numRef>
          </c:val>
        </c:ser>
        <c:dLbls>
          <c:showLegendKey val="false"/>
          <c:showVal val="false"/>
          <c:showCatName val="false"/>
          <c:showSerName val="false"/>
          <c:showPercent val="false"/>
          <c:showBubbleSize val="false"/>
        </c:dLbls>
        <c:gapWidth val="204"/>
        <c:overlap val="-100"/>
        <c:axId val="765923088"/>
        <c:axId val="650064120"/>
      </c:barChart>
      <c:catAx>
        <c:axId val="765923088"/>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50064120"/>
        <c:crosses val="autoZero"/>
        <c:auto val="true"/>
        <c:lblAlgn val="ctr"/>
        <c:lblOffset val="100"/>
        <c:noMultiLvlLbl val="false"/>
      </c:catAx>
      <c:valAx>
        <c:axId val="650064120"/>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65923088"/>
        <c:crosses val="autoZero"/>
        <c:crossBetween val="between"/>
      </c:valAx>
      <c:spPr>
        <a:noFill/>
        <a:ln>
          <a:noFill/>
        </a:ln>
        <a:effectLst/>
      </c:spPr>
    </c:plotArea>
    <c:legend>
      <c:legendPos val="b"/>
      <c:layout>
        <c:manualLayout>
          <c:xMode val="edge"/>
          <c:yMode val="edge"/>
          <c:x val="0.0679551533670232"/>
          <c:y val="0.909700234839066"/>
          <c:w val="0.929637043130803"/>
          <c:h val="0.069659930279612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2022收入</c:v>
                </c:pt>
              </c:strCache>
            </c:strRef>
          </c:tx>
          <c:spPr/>
          <c:explosion val="0"/>
          <c:dPt>
            <c:idx val="0"/>
            <c:bubble3D val="false"/>
            <c:spPr>
              <a:solidFill>
                <a:schemeClr val="accent1">
                  <a:lumMod val="40000"/>
                  <a:lumOff val="60000"/>
                </a:schemeClr>
              </a:solidFill>
              <a:ln w="19050">
                <a:solidFill>
                  <a:schemeClr val="lt1"/>
                </a:solidFill>
              </a:ln>
              <a:effectLst/>
            </c:spPr>
          </c:dPt>
          <c:dPt>
            <c:idx val="1"/>
            <c:bubble3D val="false"/>
            <c:spPr>
              <a:solidFill>
                <a:schemeClr val="tx2">
                  <a:lumMod val="60000"/>
                  <a:lumOff val="40000"/>
                </a:schemeClr>
              </a:solidFill>
              <a:ln w="19050">
                <a:solidFill>
                  <a:schemeClr val="lt1"/>
                </a:solidFill>
              </a:ln>
              <a:effectLst/>
            </c:spPr>
          </c:dPt>
          <c:dPt>
            <c:idx val="2"/>
            <c:bubble3D val="false"/>
            <c:spPr>
              <a:solidFill>
                <a:schemeClr val="accent3"/>
              </a:solidFill>
              <a:ln w="19050">
                <a:solidFill>
                  <a:schemeClr val="lt1"/>
                </a:solidFill>
              </a:ln>
              <a:effectLst/>
            </c:spPr>
          </c:dPt>
          <c:dLbls>
            <c:delete val="true"/>
          </c:dLbls>
          <c:cat>
            <c:strRef>
              <c:f>Sheet1!$A$2:$A$4</c:f>
              <c:strCache>
                <c:ptCount val="3"/>
                <c:pt idx="0">
                  <c:v>一般公共预算财政拨款收入</c:v>
                </c:pt>
                <c:pt idx="1">
                  <c:v>政府性基金预算财政拨款收入</c:v>
                </c:pt>
                <c:pt idx="2">
                  <c:v>其他收入</c:v>
                </c:pt>
              </c:strCache>
            </c:strRef>
          </c:cat>
          <c:val>
            <c:numRef>
              <c:f>Sheet1!$B$2:$B$4</c:f>
              <c:numCache>
                <c:formatCode>General</c:formatCode>
                <c:ptCount val="3"/>
                <c:pt idx="0">
                  <c:v>3304.99</c:v>
                </c:pt>
                <c:pt idx="1">
                  <c:v>33644.29</c:v>
                </c:pt>
                <c:pt idx="2">
                  <c:v>0.02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支出</c:v>
                </c:pt>
              </c:strCache>
            </c:strRef>
          </c:tx>
          <c:spPr>
            <a:solidFill>
              <a:schemeClr val="tx2">
                <a:lumMod val="60000"/>
                <a:lumOff val="40000"/>
              </a:schemeClr>
            </a:solidFill>
          </c:spPr>
          <c:explosion val="0"/>
          <c:dPt>
            <c:idx val="0"/>
            <c:bubble3D val="false"/>
            <c:spPr>
              <a:solidFill>
                <a:schemeClr val="accent1">
                  <a:lumMod val="40000"/>
                  <a:lumOff val="60000"/>
                </a:schemeClr>
              </a:solidFill>
              <a:ln w="19050">
                <a:solidFill>
                  <a:schemeClr val="lt1"/>
                </a:solidFill>
              </a:ln>
              <a:effectLst/>
            </c:spPr>
          </c:dPt>
          <c:dPt>
            <c:idx val="1"/>
            <c:bubble3D val="false"/>
            <c:spPr>
              <a:solidFill>
                <a:schemeClr val="tx2">
                  <a:lumMod val="60000"/>
                  <a:lumOff val="40000"/>
                </a:schemeClr>
              </a:solidFill>
              <a:ln w="19050">
                <a:solidFill>
                  <a:schemeClr val="lt1"/>
                </a:solidFill>
              </a:ln>
              <a:effectLst/>
            </c:spPr>
          </c:dPt>
          <c:dLbls>
            <c:delete val="true"/>
          </c:dLbls>
          <c:cat>
            <c:strRef>
              <c:f>Sheet1!$A$2:$A$3</c:f>
              <c:strCache>
                <c:ptCount val="2"/>
                <c:pt idx="0">
                  <c:v>基本支出</c:v>
                </c:pt>
                <c:pt idx="1">
                  <c:v>项目支出</c:v>
                </c:pt>
              </c:strCache>
            </c:strRef>
          </c:cat>
          <c:val>
            <c:numRef>
              <c:f>Sheet1!$B$2:$B$3</c:f>
              <c:numCache>
                <c:formatCode>General</c:formatCode>
                <c:ptCount val="2"/>
                <c:pt idx="0">
                  <c:v>683.29</c:v>
                </c:pt>
                <c:pt idx="1">
                  <c:v>37047.64</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2021年</c:v>
                </c:pt>
              </c:strCache>
            </c:strRef>
          </c:tx>
          <c:spPr>
            <a:solidFill>
              <a:schemeClr val="accent1"/>
            </a:solidFill>
            <a:ln>
              <a:noFill/>
            </a:ln>
            <a:effectLst/>
          </c:spPr>
          <c:invertIfNegative val="false"/>
          <c:dLbls>
            <c:delete val="true"/>
          </c:dLbls>
          <c:cat>
            <c:strRef>
              <c:f>Sheet1!$A$2</c:f>
              <c:strCache>
                <c:ptCount val="1"/>
                <c:pt idx="0">
                  <c:v>财政拨款收支</c:v>
                </c:pt>
              </c:strCache>
            </c:strRef>
          </c:cat>
          <c:val>
            <c:numRef>
              <c:f>Sheet1!$B$2</c:f>
              <c:numCache>
                <c:formatCode>General</c:formatCode>
                <c:ptCount val="1"/>
                <c:pt idx="0">
                  <c:v>53756</c:v>
                </c:pt>
              </c:numCache>
            </c:numRef>
          </c:val>
        </c:ser>
        <c:ser>
          <c:idx val="1"/>
          <c:order val="1"/>
          <c:tx>
            <c:strRef>
              <c:f>Sheet1!$C$1</c:f>
              <c:strCache>
                <c:ptCount val="1"/>
                <c:pt idx="0">
                  <c:v>2022年</c:v>
                </c:pt>
              </c:strCache>
            </c:strRef>
          </c:tx>
          <c:spPr>
            <a:solidFill>
              <a:schemeClr val="accent1"/>
            </a:solidFill>
            <a:ln>
              <a:noFill/>
            </a:ln>
            <a:effectLst/>
          </c:spPr>
          <c:invertIfNegative val="false"/>
          <c:dLbls>
            <c:delete val="true"/>
          </c:dLbls>
          <c:cat>
            <c:strRef>
              <c:f>Sheet1!$A$2</c:f>
              <c:strCache>
                <c:ptCount val="1"/>
                <c:pt idx="0">
                  <c:v>财政拨款收支</c:v>
                </c:pt>
              </c:strCache>
            </c:strRef>
          </c:cat>
          <c:val>
            <c:numRef>
              <c:f>Sheet1!$C$2</c:f>
              <c:numCache>
                <c:formatCode>General</c:formatCode>
                <c:ptCount val="1"/>
                <c:pt idx="0">
                  <c:v>37754.47</c:v>
                </c:pt>
              </c:numCache>
            </c:numRef>
          </c:val>
        </c:ser>
        <c:dLbls>
          <c:showLegendKey val="false"/>
          <c:showVal val="false"/>
          <c:showCatName val="false"/>
          <c:showSerName val="false"/>
          <c:showPercent val="false"/>
          <c:showBubbleSize val="false"/>
        </c:dLbls>
        <c:gapWidth val="219"/>
        <c:overlap val="-27"/>
        <c:axId val="943272168"/>
        <c:axId val="943269544"/>
      </c:barChart>
      <c:catAx>
        <c:axId val="943272168"/>
        <c:scaling>
          <c:orientation val="minMax"/>
        </c:scaling>
        <c:delete val="true"/>
        <c:axPos val="b"/>
        <c:numFmt formatCode="General" sourceLinked="true"/>
        <c:majorTickMark val="none"/>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3269544"/>
        <c:crosses val="autoZero"/>
        <c:auto val="true"/>
        <c:lblAlgn val="ctr"/>
        <c:lblOffset val="100"/>
        <c:noMultiLvlLbl val="false"/>
      </c:catAx>
      <c:valAx>
        <c:axId val="94326954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43272168"/>
        <c:crosses val="autoZero"/>
        <c:crossBetween val="between"/>
      </c:valAx>
      <c:spPr>
        <a:noFill/>
        <a:ln>
          <a:noFill/>
        </a:ln>
        <a:effectLst/>
      </c:spPr>
    </c:plotArea>
    <c:legend>
      <c:legendPos val="b"/>
      <c:layout>
        <c:manualLayout>
          <c:xMode val="edge"/>
          <c:yMode val="edge"/>
          <c:x val="0.228986730017765"/>
          <c:y val="0.905572267862802"/>
          <c:w val="0.650381945695266"/>
          <c:h val="0.069659930279612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delete val="true"/>
          </c:dLbls>
          <c:cat>
            <c:strRef>
              <c:f>Sheet1!$A$2:$A$3</c:f>
              <c:strCache>
                <c:ptCount val="2"/>
                <c:pt idx="0">
                  <c:v>2021年</c:v>
                </c:pt>
                <c:pt idx="1">
                  <c:v>2022年</c:v>
                </c:pt>
              </c:strCache>
            </c:strRef>
          </c:cat>
          <c:val>
            <c:numRef>
              <c:f>Sheet1!$B$2:$B$3</c:f>
              <c:numCache>
                <c:formatCode>General</c:formatCode>
                <c:ptCount val="2"/>
                <c:pt idx="0">
                  <c:v>1404.61</c:v>
                </c:pt>
                <c:pt idx="1">
                  <c:v>3291.88</c:v>
                </c:pt>
              </c:numCache>
            </c:numRef>
          </c:val>
        </c:ser>
        <c:dLbls>
          <c:showLegendKey val="false"/>
          <c:showVal val="false"/>
          <c:showCatName val="false"/>
          <c:showSerName val="false"/>
          <c:showPercent val="false"/>
          <c:showBubbleSize val="false"/>
        </c:dLbls>
        <c:gapWidth val="219"/>
        <c:overlap val="-27"/>
        <c:axId val="939235064"/>
        <c:axId val="939233424"/>
      </c:barChart>
      <c:catAx>
        <c:axId val="939235064"/>
        <c:scaling>
          <c:orientation val="minMax"/>
        </c:scaling>
        <c:delete val="false"/>
        <c:axPos val="b"/>
        <c:numFmt formatCode="General" sourceLinked="tru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39233424"/>
        <c:crosses val="autoZero"/>
        <c:auto val="true"/>
        <c:lblAlgn val="ctr"/>
        <c:lblOffset val="100"/>
        <c:noMultiLvlLbl val="false"/>
      </c:catAx>
      <c:valAx>
        <c:axId val="939233424"/>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39235064"/>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一般公共预算财政拨款支出</c:v>
                </c:pt>
              </c:strCache>
            </c:strRef>
          </c:tx>
          <c:spPr/>
          <c:explosion val="0"/>
          <c:dPt>
            <c:idx val="0"/>
            <c:bubble3D val="false"/>
            <c:spPr>
              <a:solidFill>
                <a:schemeClr val="accent1"/>
              </a:solidFill>
              <a:ln>
                <a:noFill/>
              </a:ln>
              <a:effectLst/>
            </c:spPr>
          </c:dPt>
          <c:dPt>
            <c:idx val="1"/>
            <c:bubble3D val="false"/>
            <c:spPr>
              <a:solidFill>
                <a:schemeClr val="accent2"/>
              </a:solidFill>
              <a:ln>
                <a:noFill/>
              </a:ln>
              <a:effectLst/>
            </c:spPr>
          </c:dPt>
          <c:dPt>
            <c:idx val="2"/>
            <c:bubble3D val="false"/>
            <c:spPr>
              <a:solidFill>
                <a:schemeClr val="accent3"/>
              </a:solidFill>
              <a:ln>
                <a:noFill/>
              </a:ln>
              <a:effectLst/>
            </c:spPr>
          </c:dPt>
          <c:dPt>
            <c:idx val="3"/>
            <c:bubble3D val="false"/>
            <c:spPr>
              <a:solidFill>
                <a:schemeClr val="accent4"/>
              </a:solidFill>
              <a:ln>
                <a:noFill/>
              </a:ln>
              <a:effectLst/>
            </c:spPr>
          </c:dPt>
          <c:dPt>
            <c:idx val="4"/>
            <c:bubble3D val="false"/>
            <c:spPr>
              <a:solidFill>
                <a:schemeClr val="accent5"/>
              </a:solidFill>
              <a:ln>
                <a:noFill/>
              </a:ln>
              <a:effectLst/>
            </c:spPr>
          </c:dPt>
          <c:dPt>
            <c:idx val="5"/>
            <c:bubble3D val="false"/>
            <c:spPr>
              <a:solidFill>
                <a:schemeClr val="accent6"/>
              </a:solidFill>
              <a:ln>
                <a:noFill/>
              </a:ln>
              <a:effectLst/>
            </c:spPr>
          </c:dPt>
          <c:dLbls>
            <c:delete val="true"/>
          </c:dLbls>
          <c:cat>
            <c:strRef>
              <c:f>Sheet1!$A$2:$A$7</c:f>
              <c:strCache>
                <c:ptCount val="6"/>
                <c:pt idx="0">
                  <c:v>文化旅游体育与传媒支出</c:v>
                </c:pt>
                <c:pt idx="1">
                  <c:v>社会保障和就业支出</c:v>
                </c:pt>
                <c:pt idx="2">
                  <c:v>卫生健康支出</c:v>
                </c:pt>
                <c:pt idx="3">
                  <c:v>城乡社区支出</c:v>
                </c:pt>
                <c:pt idx="4">
                  <c:v>资源勘探工业信息等支出</c:v>
                </c:pt>
                <c:pt idx="5">
                  <c:v>住房保障支出</c:v>
                </c:pt>
              </c:strCache>
            </c:strRef>
          </c:cat>
          <c:val>
            <c:numRef>
              <c:f>Sheet1!$B$2:$B$7</c:f>
              <c:numCache>
                <c:formatCode>General</c:formatCode>
                <c:ptCount val="6"/>
                <c:pt idx="0">
                  <c:v>2000</c:v>
                </c:pt>
                <c:pt idx="1">
                  <c:v>60.44</c:v>
                </c:pt>
                <c:pt idx="2">
                  <c:v>20.62</c:v>
                </c:pt>
                <c:pt idx="3">
                  <c:v>500</c:v>
                </c:pt>
                <c:pt idx="4">
                  <c:v>661.39</c:v>
                </c:pt>
                <c:pt idx="5">
                  <c:v>49.42</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1" vertOverflow="ellipsis" vert="horz" wrap="square" anchor="ctr" anchorCtr="true"/>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false"/>
    <c:plotArea>
      <c:layout/>
      <c:pieChart>
        <c:varyColors val="true"/>
        <c:ser>
          <c:idx val="0"/>
          <c:order val="0"/>
          <c:tx>
            <c:strRef>
              <c:f>Sheet1!$B$1</c:f>
              <c:strCache>
                <c:ptCount val="1"/>
                <c:pt idx="0">
                  <c:v>“三公”经费财政拨款支出</c:v>
                </c:pt>
              </c:strCache>
            </c:strRef>
          </c:tx>
          <c:spPr>
            <a:ln w="19050">
              <a:noFill/>
            </a:ln>
          </c:spPr>
          <c:explosion val="0"/>
          <c:dPt>
            <c:idx val="0"/>
            <c:bubble3D val="false"/>
            <c:spPr>
              <a:solidFill>
                <a:schemeClr val="accent1"/>
              </a:solidFill>
              <a:ln w="19050">
                <a:noFill/>
              </a:ln>
              <a:effectLst/>
            </c:spPr>
          </c:dPt>
          <c:dLbls>
            <c:delete val="true"/>
          </c:dLbls>
          <c:cat>
            <c:strRef>
              <c:f>Sheet1!$A$2</c:f>
              <c:strCache>
                <c:ptCount val="1"/>
                <c:pt idx="0">
                  <c:v>公务用车购置及运行维护费支出</c:v>
                </c:pt>
              </c:strCache>
            </c:strRef>
          </c:cat>
          <c:val>
            <c:numRef>
              <c:f>Sheet1!$B$2</c:f>
              <c:numCache>
                <c:formatCode>General</c:formatCode>
                <c:ptCount val="1"/>
                <c:pt idx="0">
                  <c:v>3.76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20</Pages>
  <Words>1389</Words>
  <Characters>7923</Characters>
  <Lines>66</Lines>
  <Paragraphs>18</Paragraphs>
  <TotalTime>8</TotalTime>
  <ScaleCrop>false</ScaleCrop>
  <LinksUpToDate>false</LinksUpToDate>
  <CharactersWithSpaces>9294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2023-09-27T02:05:00Z</dcterms:created>
  <dc:creator>曹颖</dc:creator>
  <cp:lastModifiedBy> </cp:lastModifiedBy>
  <cp:lastPrinted>2023-07-31T18:35:00Z</cp:lastPrinted>
  <dcterms:modified xsi:type="dcterms:W3CDTF">2023-12-26T17:09:49Z</dcterms:modified>
  <dc:title>四川省***</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1BF328E4FCBC46E183310AF8D9815CC9</vt:lpwstr>
  </property>
</Properties>
</file>